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国家社科项目结项攻略</w:t>
      </w:r>
    </w:p>
    <w:p>
      <w:pPr>
        <w:numPr>
          <w:ilvl w:val="0"/>
          <w:numId w:val="1"/>
        </w:numPr>
        <w:spacing w:line="360" w:lineRule="auto"/>
        <w:rPr>
          <w:rFonts w:hint="eastAsia" w:ascii="黑体" w:hAnsi="黑体" w:eastAsia="黑体" w:cs="黑体"/>
          <w:sz w:val="24"/>
          <w:szCs w:val="24"/>
          <w:lang w:eastAsia="zh-CN"/>
        </w:rPr>
      </w:pPr>
      <w:r>
        <w:rPr>
          <w:rFonts w:hint="eastAsia" w:ascii="黑体" w:hAnsi="黑体" w:eastAsia="黑体" w:cs="黑体"/>
          <w:sz w:val="24"/>
          <w:szCs w:val="24"/>
          <w:lang w:eastAsia="zh-CN"/>
        </w:rPr>
        <w:t>国家社科项目负责人需进行系统注册</w:t>
      </w:r>
    </w:p>
    <w:p>
      <w:pPr>
        <w:numPr>
          <w:ilvl w:val="0"/>
          <w:numId w:val="0"/>
        </w:numPr>
        <w:spacing w:line="360" w:lineRule="auto"/>
        <w:rPr>
          <w:rFonts w:hint="eastAsia"/>
          <w:sz w:val="24"/>
          <w:szCs w:val="24"/>
          <w:lang w:eastAsia="zh-CN"/>
        </w:rPr>
      </w:pPr>
      <w:r>
        <w:rPr>
          <w:rFonts w:hint="eastAsia"/>
          <w:sz w:val="24"/>
          <w:szCs w:val="24"/>
          <w:lang w:val="en-US" w:eastAsia="zh-CN"/>
        </w:rPr>
        <w:t>1.</w:t>
      </w:r>
      <w:r>
        <w:rPr>
          <w:rFonts w:hint="eastAsia"/>
          <w:sz w:val="24"/>
          <w:szCs w:val="24"/>
          <w:lang w:eastAsia="zh-CN"/>
        </w:rPr>
        <w:t>登陆全国社科规划办信息化平台http://xm.npopss-cn.gov.cn</w:t>
      </w:r>
    </w:p>
    <w:p>
      <w:pPr>
        <w:numPr>
          <w:ilvl w:val="0"/>
          <w:numId w:val="0"/>
        </w:numPr>
        <w:spacing w:line="360" w:lineRule="auto"/>
        <w:rPr>
          <w:sz w:val="24"/>
          <w:szCs w:val="24"/>
        </w:rPr>
      </w:pPr>
      <w:r>
        <w:rPr>
          <w:sz w:val="24"/>
          <w:szCs w:val="24"/>
        </w:rPr>
        <w:drawing>
          <wp:inline distT="0" distB="0" distL="114300" distR="114300">
            <wp:extent cx="5271770" cy="708025"/>
            <wp:effectExtent l="0" t="0" r="508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708025"/>
                    </a:xfrm>
                    <a:prstGeom prst="rect">
                      <a:avLst/>
                    </a:prstGeom>
                    <a:noFill/>
                    <a:ln w="9525">
                      <a:noFill/>
                    </a:ln>
                  </pic:spPr>
                </pic:pic>
              </a:graphicData>
            </a:graphic>
          </wp:inline>
        </w:drawing>
      </w:r>
    </w:p>
    <w:p>
      <w:pPr>
        <w:numPr>
          <w:ilvl w:val="0"/>
          <w:numId w:val="0"/>
        </w:numPr>
        <w:spacing w:line="360" w:lineRule="auto"/>
        <w:rPr>
          <w:rFonts w:hint="eastAsia"/>
          <w:sz w:val="24"/>
          <w:szCs w:val="24"/>
          <w:lang w:eastAsia="zh-CN"/>
        </w:rPr>
      </w:pPr>
      <w:r>
        <w:rPr>
          <w:rFonts w:hint="eastAsia"/>
          <w:sz w:val="24"/>
          <w:szCs w:val="24"/>
          <w:lang w:val="en-US" w:eastAsia="zh-CN"/>
        </w:rPr>
        <w:t>2.</w:t>
      </w:r>
      <w:r>
        <w:rPr>
          <w:rFonts w:hint="eastAsia"/>
          <w:sz w:val="24"/>
          <w:szCs w:val="24"/>
          <w:lang w:eastAsia="zh-CN"/>
        </w:rPr>
        <w:t>进行个人用户注册，按照要求填写个人注册信息</w:t>
      </w:r>
    </w:p>
    <w:p>
      <w:pPr>
        <w:numPr>
          <w:ilvl w:val="0"/>
          <w:numId w:val="2"/>
        </w:numPr>
        <w:spacing w:line="360" w:lineRule="auto"/>
        <w:rPr>
          <w:rFonts w:hint="eastAsia"/>
          <w:sz w:val="24"/>
          <w:szCs w:val="24"/>
          <w:lang w:val="en-US" w:eastAsia="zh-CN"/>
        </w:rPr>
      </w:pPr>
      <w:r>
        <w:rPr>
          <w:rFonts w:hint="eastAsia"/>
          <w:sz w:val="24"/>
          <w:szCs w:val="24"/>
          <w:lang w:val="en-US" w:eastAsia="zh-CN"/>
        </w:rPr>
        <w:t>拨打电话010-83952497找科研处刘佳老师审核通过</w:t>
      </w:r>
    </w:p>
    <w:p>
      <w:pPr>
        <w:numPr>
          <w:ilvl w:val="0"/>
          <w:numId w:val="1"/>
        </w:numPr>
        <w:spacing w:line="360" w:lineRule="auto"/>
        <w:rPr>
          <w:rFonts w:hint="eastAsia" w:ascii="黑体" w:hAnsi="黑体" w:eastAsia="黑体" w:cs="黑体"/>
          <w:sz w:val="24"/>
          <w:szCs w:val="24"/>
          <w:lang w:eastAsia="zh-CN"/>
        </w:rPr>
      </w:pPr>
      <w:r>
        <w:rPr>
          <w:rFonts w:hint="eastAsia" w:ascii="黑体" w:hAnsi="黑体" w:eastAsia="黑体" w:cs="黑体"/>
          <w:sz w:val="24"/>
          <w:szCs w:val="24"/>
          <w:lang w:eastAsia="zh-CN"/>
        </w:rPr>
        <w:t>请办理国家社科结项的老师按要求上传结项材料</w:t>
      </w:r>
    </w:p>
    <w:p>
      <w:pPr>
        <w:numPr>
          <w:ilvl w:val="0"/>
          <w:numId w:val="0"/>
        </w:numPr>
        <w:spacing w:line="360" w:lineRule="auto"/>
        <w:rPr>
          <w:rFonts w:hint="eastAsia"/>
          <w:sz w:val="24"/>
          <w:szCs w:val="24"/>
          <w:lang w:eastAsia="zh-CN"/>
        </w:rPr>
      </w:pPr>
      <w:r>
        <w:rPr>
          <w:rFonts w:hint="eastAsia"/>
          <w:sz w:val="24"/>
          <w:szCs w:val="24"/>
          <w:lang w:val="en-US" w:eastAsia="zh-CN"/>
        </w:rPr>
        <w:t>1.</w:t>
      </w:r>
      <w:r>
        <w:rPr>
          <w:rFonts w:hint="eastAsia"/>
          <w:sz w:val="24"/>
          <w:szCs w:val="24"/>
          <w:lang w:eastAsia="zh-CN"/>
        </w:rPr>
        <w:t>在立项列表中查找自己的项目；</w:t>
      </w:r>
    </w:p>
    <w:p>
      <w:pPr>
        <w:numPr>
          <w:ilvl w:val="0"/>
          <w:numId w:val="0"/>
        </w:numPr>
        <w:spacing w:line="360" w:lineRule="auto"/>
        <w:rPr>
          <w:rFonts w:hint="eastAsia"/>
          <w:sz w:val="24"/>
          <w:szCs w:val="24"/>
          <w:lang w:val="en-US" w:eastAsia="zh-CN"/>
        </w:rPr>
      </w:pPr>
      <w:r>
        <w:rPr>
          <w:rFonts w:hint="eastAsia"/>
          <w:sz w:val="24"/>
          <w:szCs w:val="24"/>
          <w:lang w:val="en-US" w:eastAsia="zh-CN"/>
        </w:rPr>
        <w:t>2.</w:t>
      </w:r>
      <w:r>
        <w:rPr>
          <w:rFonts w:hint="eastAsia"/>
          <w:sz w:val="24"/>
          <w:szCs w:val="24"/>
          <w:lang w:eastAsia="zh-CN"/>
        </w:rPr>
        <w:t>在某一项目列表操作栏中选择申请结项，并按要求提交信息和材料。</w:t>
      </w:r>
    </w:p>
    <w:p>
      <w:pPr>
        <w:numPr>
          <w:ilvl w:val="0"/>
          <w:numId w:val="0"/>
        </w:numPr>
        <w:spacing w:line="360" w:lineRule="auto"/>
        <w:ind w:firstLine="480" w:firstLineChars="200"/>
        <w:rPr>
          <w:rFonts w:hint="eastAsia"/>
          <w:sz w:val="24"/>
          <w:szCs w:val="24"/>
          <w:lang w:val="en-US" w:eastAsia="zh-CN"/>
        </w:rPr>
      </w:pPr>
      <w:r>
        <w:rPr>
          <w:rFonts w:hint="eastAsia"/>
          <w:color w:val="FF0000"/>
          <w:sz w:val="24"/>
          <w:szCs w:val="24"/>
          <w:lang w:val="en-US" w:eastAsia="zh-CN"/>
        </w:rPr>
        <w:t>注意事项：</w:t>
      </w:r>
      <w:r>
        <w:rPr>
          <w:rFonts w:hint="eastAsia"/>
          <w:sz w:val="24"/>
          <w:szCs w:val="24"/>
          <w:lang w:val="en-US" w:eastAsia="zh-CN"/>
        </w:rPr>
        <w:t>（1）需要提交上传PDF版本的鉴定成果和word版本的结项审批书；鉴定的成果需要</w:t>
      </w:r>
      <w:r>
        <w:rPr>
          <w:rFonts w:hint="eastAsia"/>
          <w:color w:val="0000FF"/>
          <w:sz w:val="24"/>
          <w:szCs w:val="24"/>
          <w:lang w:val="en-US" w:eastAsia="zh-CN"/>
        </w:rPr>
        <w:t>匿名</w:t>
      </w:r>
      <w:r>
        <w:rPr>
          <w:rFonts w:hint="eastAsia"/>
          <w:sz w:val="24"/>
          <w:szCs w:val="24"/>
          <w:lang w:val="en-US" w:eastAsia="zh-CN"/>
        </w:rPr>
        <w:t>版本，请隐去除项目名称外的其他能够透露项目信息的文字表述。（2）填写系统前需要准备项目成员的身份证号码，单位，学历等信息。（3）经费收支明细表需要扫描上传带财务处、审计处</w:t>
      </w:r>
      <w:r>
        <w:rPr>
          <w:rFonts w:hint="eastAsia"/>
          <w:color w:val="0000FF"/>
          <w:sz w:val="24"/>
          <w:szCs w:val="24"/>
          <w:lang w:val="en-US" w:eastAsia="zh-CN"/>
        </w:rPr>
        <w:t>红章</w:t>
      </w:r>
      <w:r>
        <w:rPr>
          <w:rFonts w:hint="eastAsia"/>
          <w:sz w:val="24"/>
          <w:szCs w:val="24"/>
          <w:lang w:val="en-US" w:eastAsia="zh-CN"/>
        </w:rPr>
        <w:t>的版本；请老师上传所有材料并</w:t>
      </w:r>
      <w:r>
        <w:rPr>
          <w:rFonts w:hint="eastAsia"/>
          <w:sz w:val="24"/>
          <w:szCs w:val="24"/>
          <w:lang w:eastAsia="zh-CN"/>
        </w:rPr>
        <w:t>保存后，到结项列表里点击</w:t>
      </w:r>
      <w:r>
        <w:rPr>
          <w:rFonts w:hint="eastAsia"/>
          <w:b/>
          <w:bCs/>
          <w:color w:val="0000FF"/>
          <w:sz w:val="24"/>
          <w:szCs w:val="24"/>
          <w:lang w:eastAsia="zh-CN"/>
        </w:rPr>
        <w:t>提交</w:t>
      </w:r>
      <w:r>
        <w:rPr>
          <w:rFonts w:hint="eastAsia"/>
          <w:sz w:val="24"/>
          <w:szCs w:val="24"/>
          <w:lang w:eastAsia="zh-CN"/>
        </w:rPr>
        <w:t>按钮；随后，学校和规划办会进行审核，可以在审核状态下看到审核结果；如果不通过请按照修改要求进行修改，再次提交。</w:t>
      </w:r>
    </w:p>
    <w:p>
      <w:pPr>
        <w:numPr>
          <w:ilvl w:val="0"/>
          <w:numId w:val="0"/>
        </w:numPr>
        <w:spacing w:line="360" w:lineRule="auto"/>
        <w:ind w:leftChars="0"/>
        <w:rPr>
          <w:rFonts w:hint="eastAsia"/>
          <w:sz w:val="24"/>
          <w:szCs w:val="24"/>
          <w:lang w:val="en-US" w:eastAsia="zh-CN"/>
        </w:rPr>
      </w:pPr>
      <w:r>
        <w:rPr>
          <w:rFonts w:hint="eastAsia"/>
          <w:sz w:val="24"/>
          <w:szCs w:val="24"/>
          <w:lang w:val="en-US" w:eastAsia="zh-CN"/>
        </w:rPr>
        <w:t>3.提交的阶段成果一般为论文、出版的专著、专利、获奖等，不包括研究生毕业论文。注意，根据国家社科项目管理办法规定，2016年1月以后发表的阶段成果应该将</w:t>
      </w:r>
      <w:r>
        <w:rPr>
          <w:rFonts w:hint="eastAsia"/>
          <w:b/>
          <w:bCs/>
          <w:sz w:val="24"/>
          <w:szCs w:val="24"/>
          <w:lang w:val="en-US" w:eastAsia="zh-CN"/>
        </w:rPr>
        <w:t>国家社科基金项目</w:t>
      </w:r>
      <w:r>
        <w:rPr>
          <w:rFonts w:hint="eastAsia"/>
          <w:sz w:val="24"/>
          <w:szCs w:val="24"/>
          <w:lang w:val="en-US" w:eastAsia="zh-CN"/>
        </w:rPr>
        <w:t>作为</w:t>
      </w:r>
      <w:r>
        <w:rPr>
          <w:rFonts w:hint="eastAsia"/>
          <w:color w:val="0000FF"/>
          <w:sz w:val="24"/>
          <w:szCs w:val="24"/>
          <w:lang w:val="en-US" w:eastAsia="zh-CN"/>
        </w:rPr>
        <w:t>唯一资助标识</w:t>
      </w:r>
      <w:r>
        <w:rPr>
          <w:rFonts w:hint="eastAsia"/>
          <w:sz w:val="24"/>
          <w:szCs w:val="24"/>
          <w:lang w:val="en-US" w:eastAsia="zh-CN"/>
        </w:rPr>
        <w:t>，而不能多项基金资助标识，请上传合格的阶段成果。</w:t>
      </w:r>
    </w:p>
    <w:p>
      <w:pPr>
        <w:numPr>
          <w:ilvl w:val="0"/>
          <w:numId w:val="0"/>
        </w:numPr>
        <w:spacing w:line="360" w:lineRule="auto"/>
        <w:ind w:leftChars="0"/>
        <w:rPr>
          <w:rFonts w:hint="eastAsia"/>
          <w:sz w:val="24"/>
          <w:szCs w:val="24"/>
          <w:lang w:val="en-US" w:eastAsia="zh-CN"/>
        </w:rPr>
      </w:pPr>
    </w:p>
    <w:p>
      <w:pPr>
        <w:numPr>
          <w:ilvl w:val="0"/>
          <w:numId w:val="2"/>
        </w:numPr>
        <w:spacing w:line="360" w:lineRule="auto"/>
        <w:ind w:left="0" w:leftChars="0" w:firstLine="0" w:firstLineChars="0"/>
        <w:rPr>
          <w:rFonts w:hint="eastAsia"/>
          <w:sz w:val="24"/>
          <w:szCs w:val="24"/>
          <w:lang w:val="en-US" w:eastAsia="zh-CN"/>
        </w:rPr>
      </w:pPr>
      <w:r>
        <w:rPr>
          <w:rFonts w:hint="eastAsia"/>
          <w:sz w:val="24"/>
          <w:szCs w:val="24"/>
          <w:lang w:val="en-US" w:eastAsia="zh-CN"/>
        </w:rPr>
        <w:t>系统经费预算与决算填写：对照立项回执上的预算和实际支出进行填写，专家和咨询应严格控制，如有比较大的数额偏差，请到科研处和财务处咨询。</w:t>
      </w:r>
    </w:p>
    <w:p>
      <w:pPr>
        <w:numPr>
          <w:ilvl w:val="0"/>
          <w:numId w:val="0"/>
        </w:numPr>
        <w:spacing w:line="360" w:lineRule="auto"/>
        <w:ind w:leftChars="0"/>
        <w:rPr>
          <w:rFonts w:hint="eastAsia"/>
          <w:sz w:val="24"/>
          <w:szCs w:val="24"/>
          <w:lang w:val="en-US" w:eastAsia="zh-CN"/>
        </w:rPr>
      </w:pPr>
    </w:p>
    <w:p>
      <w:pPr>
        <w:numPr>
          <w:ilvl w:val="0"/>
          <w:numId w:val="0"/>
        </w:numPr>
        <w:spacing w:line="360" w:lineRule="auto"/>
        <w:ind w:leftChars="0"/>
        <w:rPr>
          <w:rFonts w:hint="eastAsia"/>
          <w:b/>
          <w:bCs/>
          <w:color w:val="auto"/>
          <w:sz w:val="24"/>
          <w:szCs w:val="24"/>
          <w:lang w:val="en-US" w:eastAsia="zh-CN"/>
        </w:rPr>
      </w:pPr>
      <w:r>
        <w:rPr>
          <w:rFonts w:hint="eastAsia"/>
          <w:b/>
          <w:bCs/>
          <w:color w:val="auto"/>
          <w:sz w:val="24"/>
          <w:szCs w:val="24"/>
          <w:lang w:val="en-US" w:eastAsia="zh-CN"/>
        </w:rPr>
        <w:t>三、提交纸质材料</w:t>
      </w:r>
    </w:p>
    <w:p>
      <w:pPr>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1、结项审批书1份，加盖财务和审计公章。</w:t>
      </w:r>
    </w:p>
    <w:p>
      <w:pPr>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2、财务收支明细账（图表为参考）</w:t>
      </w:r>
    </w:p>
    <w:tbl>
      <w:tblPr>
        <w:tblStyle w:val="4"/>
        <w:tblW w:w="8817" w:type="dxa"/>
        <w:jc w:val="center"/>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36"/>
        <w:gridCol w:w="1214"/>
        <w:gridCol w:w="2577"/>
        <w:gridCol w:w="114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817" w:type="dxa"/>
            <w:gridSpan w:val="6"/>
            <w:vAlign w:val="center"/>
          </w:tcPr>
          <w:p>
            <w:pPr>
              <w:spacing w:line="360" w:lineRule="auto"/>
              <w:jc w:val="left"/>
              <w:rPr>
                <w:rFonts w:hint="eastAsia" w:ascii="Times New Roman" w:hAnsi="Times New Roman" w:cs="Times New Roman" w:eastAsiaTheme="minorEastAsia"/>
                <w:bCs/>
                <w:color w:val="000000" w:themeColor="text1"/>
                <w:sz w:val="21"/>
                <w:szCs w:val="21"/>
                <w:lang w:val="en-US" w:eastAsia="zh-CN"/>
                <w14:textFill>
                  <w14:solidFill>
                    <w14:schemeClr w14:val="tx1"/>
                  </w14:solidFill>
                </w14:textFill>
              </w:rPr>
            </w:pPr>
            <w:r>
              <w:rPr>
                <w:rFonts w:ascii="Times New Roman" w:hAnsi="Times New Roman" w:cs="Times New Roman"/>
                <w:b/>
                <w:bCs/>
                <w:sz w:val="21"/>
                <w:szCs w:val="21"/>
              </w:rPr>
              <w:t>项目名称：</w:t>
            </w:r>
            <w:r>
              <w:rPr>
                <w:rFonts w:hint="eastAsia" w:ascii="Times New Roman" w:hAnsi="Times New Roman" w:cs="Times New Roman"/>
                <w:sz w:val="21"/>
                <w:szCs w:val="21"/>
                <w:lang w:val="en-US" w:eastAsia="zh-CN"/>
              </w:rPr>
              <w:t xml:space="preserve">               </w:t>
            </w:r>
            <w:r>
              <w:rPr>
                <w:rFonts w:ascii="Times New Roman" w:hAnsi="Times New Roman" w:cs="Times New Roman"/>
                <w:b/>
                <w:sz w:val="21"/>
                <w:szCs w:val="21"/>
              </w:rPr>
              <w:t>项目编号：</w:t>
            </w:r>
            <w:r>
              <w:rPr>
                <w:rFonts w:hint="eastAsia" w:ascii="Times New Roman" w:hAnsi="Times New Roman" w:cs="Times New Roman"/>
                <w:b/>
                <w:sz w:val="21"/>
                <w:szCs w:val="21"/>
                <w:lang w:val="en-US" w:eastAsia="zh-CN"/>
              </w:rPr>
              <w:t xml:space="preserve">          项目负责人：              （单位：元）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382"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明细</w:t>
            </w:r>
          </w:p>
        </w:tc>
        <w:tc>
          <w:tcPr>
            <w:tcW w:w="1336"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日期</w:t>
            </w:r>
          </w:p>
        </w:tc>
        <w:tc>
          <w:tcPr>
            <w:tcW w:w="1214"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凭单号</w:t>
            </w:r>
          </w:p>
        </w:tc>
        <w:tc>
          <w:tcPr>
            <w:tcW w:w="2577"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摘要</w:t>
            </w:r>
          </w:p>
        </w:tc>
        <w:tc>
          <w:tcPr>
            <w:tcW w:w="1141" w:type="dxa"/>
            <w:vAlign w:val="center"/>
          </w:tcPr>
          <w:p>
            <w:pPr>
              <w:spacing w:line="360" w:lineRule="auto"/>
              <w:jc w:val="center"/>
              <w:rPr>
                <w:rFonts w:ascii="Times New Roman" w:hAnsi="Times New Roman" w:cs="Times New Roman"/>
                <w:sz w:val="21"/>
                <w:szCs w:val="21"/>
              </w:rPr>
            </w:pPr>
            <w:r>
              <w:rPr>
                <w:rFonts w:hint="eastAsia" w:ascii="Times New Roman" w:hAnsi="Times New Roman" w:cs="Times New Roman"/>
                <w:sz w:val="21"/>
                <w:szCs w:val="21"/>
                <w:lang w:eastAsia="zh-CN"/>
              </w:rPr>
              <w:t>支出</w:t>
            </w:r>
            <w:r>
              <w:rPr>
                <w:rFonts w:ascii="Times New Roman" w:hAnsi="Times New Roman" w:cs="Times New Roman"/>
                <w:sz w:val="21"/>
                <w:szCs w:val="21"/>
              </w:rPr>
              <w:t>/借款</w:t>
            </w:r>
          </w:p>
        </w:tc>
        <w:tc>
          <w:tcPr>
            <w:tcW w:w="1167"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1382"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收入</w:t>
            </w:r>
          </w:p>
        </w:tc>
        <w:tc>
          <w:tcPr>
            <w:tcW w:w="1336" w:type="dxa"/>
            <w:vAlign w:val="center"/>
          </w:tcPr>
          <w:p>
            <w:pPr>
              <w:widowControl/>
              <w:spacing w:line="360" w:lineRule="auto"/>
              <w:jc w:val="center"/>
              <w:rPr>
                <w:rFonts w:ascii="Times New Roman" w:hAnsi="Times New Roman" w:cs="Times New Roman"/>
                <w:kern w:val="0"/>
                <w:sz w:val="21"/>
                <w:szCs w:val="21"/>
              </w:rPr>
            </w:pPr>
          </w:p>
        </w:tc>
        <w:tc>
          <w:tcPr>
            <w:tcW w:w="1214" w:type="dxa"/>
            <w:vAlign w:val="center"/>
          </w:tcPr>
          <w:p>
            <w:pPr>
              <w:widowControl/>
              <w:spacing w:line="360" w:lineRule="auto"/>
              <w:jc w:val="center"/>
              <w:rPr>
                <w:rFonts w:ascii="Times New Roman" w:hAnsi="Times New Roman" w:cs="Times New Roman"/>
                <w:kern w:val="0"/>
                <w:sz w:val="21"/>
                <w:szCs w:val="21"/>
              </w:rPr>
            </w:pPr>
          </w:p>
        </w:tc>
        <w:tc>
          <w:tcPr>
            <w:tcW w:w="2577" w:type="dxa"/>
            <w:vAlign w:val="center"/>
          </w:tcPr>
          <w:p>
            <w:pPr>
              <w:widowControl/>
              <w:spacing w:line="360" w:lineRule="auto"/>
              <w:jc w:val="center"/>
              <w:rPr>
                <w:rFonts w:ascii="Times New Roman" w:hAnsi="Times New Roman" w:cs="Times New Roman"/>
                <w:kern w:val="0"/>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jc w:val="center"/>
        </w:trPr>
        <w:tc>
          <w:tcPr>
            <w:tcW w:w="1382"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color w:val="000000" w:themeColor="text1"/>
                <w:kern w:val="0"/>
                <w:sz w:val="21"/>
                <w:szCs w:val="21"/>
                <w14:textFill>
                  <w14:solidFill>
                    <w14:schemeClr w14:val="tx1"/>
                  </w14:solidFill>
                </w14:textFill>
              </w:rPr>
              <w:t>管理费</w:t>
            </w: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382" w:type="dxa"/>
            <w:vMerge w:val="restart"/>
            <w:vAlign w:val="center"/>
          </w:tcPr>
          <w:p>
            <w:pPr>
              <w:spacing w:line="36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资料费</w:t>
            </w: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restart"/>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382" w:type="dxa"/>
            <w:vMerge w:val="continue"/>
            <w:tcBorders/>
            <w:vAlign w:val="center"/>
          </w:tcPr>
          <w:p>
            <w:pPr>
              <w:spacing w:line="360" w:lineRule="auto"/>
              <w:jc w:val="center"/>
              <w:rPr>
                <w:rFonts w:hint="eastAsia" w:ascii="Times New Roman" w:hAnsi="Times New Roman" w:cs="Times New Roman"/>
                <w:sz w:val="21"/>
                <w:szCs w:val="21"/>
                <w:lang w:eastAsia="zh-CN"/>
              </w:rPr>
            </w:pP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continue"/>
            <w:tcBorders/>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382" w:type="dxa"/>
            <w:vMerge w:val="restart"/>
            <w:vAlign w:val="center"/>
          </w:tcPr>
          <w:p>
            <w:pPr>
              <w:spacing w:line="36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数据采集费</w:t>
            </w: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restart"/>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382" w:type="dxa"/>
            <w:vMerge w:val="continue"/>
            <w:tcBorders/>
            <w:vAlign w:val="center"/>
          </w:tcPr>
          <w:p>
            <w:pPr>
              <w:spacing w:line="360" w:lineRule="auto"/>
              <w:jc w:val="center"/>
              <w:rPr>
                <w:rFonts w:hint="eastAsia" w:ascii="Times New Roman" w:hAnsi="Times New Roman" w:cs="Times New Roman"/>
                <w:sz w:val="21"/>
                <w:szCs w:val="21"/>
                <w:lang w:eastAsia="zh-CN"/>
              </w:rPr>
            </w:pP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continue"/>
            <w:tcBorders/>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382" w:type="dxa"/>
            <w:vMerge w:val="restart"/>
            <w:vAlign w:val="center"/>
          </w:tcPr>
          <w:p>
            <w:pPr>
              <w:spacing w:line="360" w:lineRule="auto"/>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会议费/差旅费/国际合作与交流费</w:t>
            </w: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restart"/>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382" w:type="dxa"/>
            <w:vMerge w:val="continue"/>
            <w:tcBorders/>
            <w:vAlign w:val="center"/>
          </w:tcPr>
          <w:p>
            <w:pPr>
              <w:spacing w:line="360" w:lineRule="auto"/>
              <w:jc w:val="center"/>
              <w:rPr>
                <w:rFonts w:hint="eastAsia" w:ascii="Times New Roman" w:hAnsi="Times New Roman" w:cs="Times New Roman"/>
                <w:sz w:val="21"/>
                <w:szCs w:val="21"/>
                <w:lang w:eastAsia="zh-CN"/>
              </w:rPr>
            </w:pP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continue"/>
            <w:tcBorders/>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1382" w:type="dxa"/>
            <w:vMerge w:val="restart"/>
            <w:vAlign w:val="center"/>
          </w:tcPr>
          <w:p>
            <w:pPr>
              <w:spacing w:line="360" w:lineRule="auto"/>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设备费</w:t>
            </w: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restart"/>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1382" w:type="dxa"/>
            <w:vMerge w:val="continue"/>
            <w:tcBorders/>
            <w:vAlign w:val="center"/>
          </w:tcPr>
          <w:p>
            <w:pPr>
              <w:spacing w:line="360" w:lineRule="auto"/>
              <w:jc w:val="center"/>
              <w:rPr>
                <w:rFonts w:hint="eastAsia" w:ascii="Times New Roman" w:hAnsi="Times New Roman" w:cs="Times New Roman"/>
                <w:sz w:val="21"/>
                <w:szCs w:val="21"/>
                <w:lang w:eastAsia="zh-CN"/>
              </w:rPr>
            </w:pP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continue"/>
            <w:tcBorders/>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382" w:type="dxa"/>
            <w:vMerge w:val="restart"/>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专家咨询费</w:t>
            </w: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restart"/>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382" w:type="dxa"/>
            <w:vMerge w:val="continue"/>
            <w:tcBorders/>
            <w:vAlign w:val="center"/>
          </w:tcPr>
          <w:p>
            <w:pPr>
              <w:spacing w:line="360" w:lineRule="auto"/>
              <w:jc w:val="center"/>
              <w:rPr>
                <w:rFonts w:ascii="Times New Roman" w:hAnsi="Times New Roman" w:cs="Times New Roman"/>
                <w:sz w:val="21"/>
                <w:szCs w:val="21"/>
              </w:rPr>
            </w:pP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continue"/>
            <w:tcBorders/>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382" w:type="dxa"/>
            <w:vMerge w:val="restart"/>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劳务费</w:t>
            </w: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restart"/>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382" w:type="dxa"/>
            <w:vMerge w:val="continue"/>
            <w:tcBorders/>
            <w:vAlign w:val="center"/>
          </w:tcPr>
          <w:p>
            <w:pPr>
              <w:spacing w:line="360" w:lineRule="auto"/>
              <w:jc w:val="center"/>
              <w:rPr>
                <w:rFonts w:ascii="Times New Roman" w:hAnsi="Times New Roman" w:cs="Times New Roman"/>
                <w:sz w:val="21"/>
                <w:szCs w:val="21"/>
              </w:rPr>
            </w:pP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continue"/>
            <w:tcBorders/>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82" w:type="dxa"/>
            <w:vMerge w:val="restart"/>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印刷</w:t>
            </w:r>
            <w:r>
              <w:rPr>
                <w:rFonts w:hint="eastAsia" w:ascii="Times New Roman" w:hAnsi="Times New Roman" w:cs="Times New Roman"/>
                <w:sz w:val="21"/>
                <w:szCs w:val="21"/>
                <w:lang w:eastAsia="zh-CN"/>
              </w:rPr>
              <w:t>出版</w:t>
            </w:r>
            <w:r>
              <w:rPr>
                <w:rFonts w:ascii="Times New Roman" w:hAnsi="Times New Roman" w:cs="Times New Roman"/>
                <w:sz w:val="21"/>
                <w:szCs w:val="21"/>
              </w:rPr>
              <w:t>费</w:t>
            </w: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restart"/>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382" w:type="dxa"/>
            <w:vMerge w:val="continue"/>
            <w:tcBorders/>
            <w:vAlign w:val="center"/>
          </w:tcPr>
          <w:p>
            <w:pPr>
              <w:spacing w:line="360" w:lineRule="auto"/>
              <w:jc w:val="center"/>
              <w:rPr>
                <w:rFonts w:ascii="Times New Roman" w:hAnsi="Times New Roman" w:cs="Times New Roman"/>
                <w:sz w:val="21"/>
                <w:szCs w:val="21"/>
              </w:rPr>
            </w:pPr>
          </w:p>
        </w:tc>
        <w:tc>
          <w:tcPr>
            <w:tcW w:w="1336" w:type="dxa"/>
            <w:vAlign w:val="center"/>
          </w:tcPr>
          <w:p>
            <w:pPr>
              <w:spacing w:line="360" w:lineRule="auto"/>
              <w:jc w:val="center"/>
              <w:rPr>
                <w:rFonts w:ascii="Times New Roman" w:hAnsi="Times New Roman" w:cs="Times New Roman"/>
                <w:sz w:val="21"/>
                <w:szCs w:val="21"/>
              </w:rPr>
            </w:pPr>
          </w:p>
        </w:tc>
        <w:tc>
          <w:tcPr>
            <w:tcW w:w="1214" w:type="dxa"/>
            <w:vAlign w:val="center"/>
          </w:tcPr>
          <w:p>
            <w:pPr>
              <w:spacing w:line="360" w:lineRule="auto"/>
              <w:jc w:val="center"/>
              <w:rPr>
                <w:rFonts w:ascii="Times New Roman" w:hAnsi="Times New Roman" w:cs="Times New Roman"/>
                <w:sz w:val="21"/>
                <w:szCs w:val="21"/>
              </w:rPr>
            </w:pPr>
          </w:p>
        </w:tc>
        <w:tc>
          <w:tcPr>
            <w:tcW w:w="2577" w:type="dxa"/>
            <w:vAlign w:val="center"/>
          </w:tcPr>
          <w:p>
            <w:pPr>
              <w:spacing w:line="360" w:lineRule="auto"/>
              <w:jc w:val="center"/>
              <w:rPr>
                <w:rFonts w:ascii="Times New Roman" w:hAnsi="Times New Roman" w:cs="Times New Roman"/>
                <w:sz w:val="21"/>
                <w:szCs w:val="21"/>
              </w:rPr>
            </w:pPr>
          </w:p>
        </w:tc>
        <w:tc>
          <w:tcPr>
            <w:tcW w:w="1141" w:type="dxa"/>
            <w:vAlign w:val="center"/>
          </w:tcPr>
          <w:p>
            <w:pPr>
              <w:spacing w:line="360" w:lineRule="auto"/>
              <w:jc w:val="center"/>
              <w:rPr>
                <w:rFonts w:ascii="Times New Roman" w:hAnsi="Times New Roman" w:cs="Times New Roman"/>
                <w:sz w:val="21"/>
                <w:szCs w:val="21"/>
              </w:rPr>
            </w:pPr>
          </w:p>
        </w:tc>
        <w:tc>
          <w:tcPr>
            <w:tcW w:w="1167" w:type="dxa"/>
            <w:vMerge w:val="continue"/>
            <w:tcBorders/>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82" w:type="dxa"/>
            <w:vMerge w:val="restart"/>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其他支出</w:t>
            </w:r>
          </w:p>
        </w:tc>
        <w:tc>
          <w:tcPr>
            <w:tcW w:w="1336" w:type="dxa"/>
            <w:vAlign w:val="center"/>
          </w:tcPr>
          <w:p>
            <w:pPr>
              <w:spacing w:line="360" w:lineRule="auto"/>
              <w:jc w:val="center"/>
              <w:rPr>
                <w:rFonts w:ascii="Times New Roman" w:hAnsi="Times New Roman" w:cs="Times New Roman"/>
                <w:color w:val="000000" w:themeColor="text1"/>
                <w:kern w:val="0"/>
                <w:sz w:val="21"/>
                <w:szCs w:val="21"/>
                <w14:textFill>
                  <w14:solidFill>
                    <w14:schemeClr w14:val="tx1"/>
                  </w14:solidFill>
                </w14:textFill>
              </w:rPr>
            </w:pPr>
          </w:p>
        </w:tc>
        <w:tc>
          <w:tcPr>
            <w:tcW w:w="1214" w:type="dxa"/>
            <w:vAlign w:val="center"/>
          </w:tcPr>
          <w:p>
            <w:pPr>
              <w:spacing w:line="360" w:lineRule="auto"/>
              <w:jc w:val="center"/>
              <w:rPr>
                <w:rFonts w:ascii="Times New Roman" w:hAnsi="Times New Roman" w:cs="Times New Roman"/>
                <w:color w:val="000000" w:themeColor="text1"/>
                <w:kern w:val="0"/>
                <w:sz w:val="21"/>
                <w:szCs w:val="21"/>
                <w14:textFill>
                  <w14:solidFill>
                    <w14:schemeClr w14:val="tx1"/>
                  </w14:solidFill>
                </w14:textFill>
              </w:rPr>
            </w:pPr>
          </w:p>
        </w:tc>
        <w:tc>
          <w:tcPr>
            <w:tcW w:w="2577" w:type="dxa"/>
            <w:vAlign w:val="center"/>
          </w:tcPr>
          <w:p>
            <w:pPr>
              <w:spacing w:line="360" w:lineRule="auto"/>
              <w:jc w:val="center"/>
              <w:rPr>
                <w:rFonts w:ascii="Times New Roman" w:hAnsi="Times New Roman" w:cs="Times New Roman"/>
                <w:color w:val="000000" w:themeColor="text1"/>
                <w:sz w:val="21"/>
                <w:szCs w:val="21"/>
                <w14:textFill>
                  <w14:solidFill>
                    <w14:schemeClr w14:val="tx1"/>
                  </w14:solidFill>
                </w14:textFill>
              </w:rPr>
            </w:pPr>
          </w:p>
        </w:tc>
        <w:tc>
          <w:tcPr>
            <w:tcW w:w="1141" w:type="dxa"/>
            <w:vAlign w:val="center"/>
          </w:tcPr>
          <w:p>
            <w:pPr>
              <w:spacing w:line="360" w:lineRule="auto"/>
              <w:jc w:val="center"/>
              <w:rPr>
                <w:rFonts w:ascii="Times New Roman" w:hAnsi="Times New Roman" w:cs="Times New Roman"/>
                <w:color w:val="000000" w:themeColor="text1"/>
                <w:kern w:val="0"/>
                <w:sz w:val="21"/>
                <w:szCs w:val="21"/>
                <w14:textFill>
                  <w14:solidFill>
                    <w14:schemeClr w14:val="tx1"/>
                  </w14:solidFill>
                </w14:textFill>
              </w:rPr>
            </w:pPr>
          </w:p>
        </w:tc>
        <w:tc>
          <w:tcPr>
            <w:tcW w:w="1167" w:type="dxa"/>
            <w:vMerge w:val="restart"/>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82" w:type="dxa"/>
            <w:vMerge w:val="continue"/>
            <w:tcBorders/>
            <w:vAlign w:val="center"/>
          </w:tcPr>
          <w:p>
            <w:pPr>
              <w:spacing w:line="360" w:lineRule="auto"/>
              <w:jc w:val="center"/>
              <w:rPr>
                <w:rFonts w:ascii="Times New Roman" w:hAnsi="Times New Roman" w:cs="Times New Roman"/>
                <w:sz w:val="21"/>
                <w:szCs w:val="21"/>
              </w:rPr>
            </w:pPr>
          </w:p>
        </w:tc>
        <w:tc>
          <w:tcPr>
            <w:tcW w:w="1336" w:type="dxa"/>
            <w:vAlign w:val="center"/>
          </w:tcPr>
          <w:p>
            <w:pPr>
              <w:spacing w:line="360" w:lineRule="auto"/>
              <w:jc w:val="center"/>
              <w:rPr>
                <w:rFonts w:ascii="Times New Roman" w:hAnsi="Times New Roman" w:cs="Times New Roman"/>
                <w:color w:val="000000" w:themeColor="text1"/>
                <w:kern w:val="0"/>
                <w:sz w:val="21"/>
                <w:szCs w:val="21"/>
                <w14:textFill>
                  <w14:solidFill>
                    <w14:schemeClr w14:val="tx1"/>
                  </w14:solidFill>
                </w14:textFill>
              </w:rPr>
            </w:pPr>
          </w:p>
        </w:tc>
        <w:tc>
          <w:tcPr>
            <w:tcW w:w="1214" w:type="dxa"/>
            <w:vAlign w:val="center"/>
          </w:tcPr>
          <w:p>
            <w:pPr>
              <w:spacing w:line="360" w:lineRule="auto"/>
              <w:jc w:val="center"/>
              <w:rPr>
                <w:rFonts w:ascii="Times New Roman" w:hAnsi="Times New Roman" w:cs="Times New Roman"/>
                <w:color w:val="000000" w:themeColor="text1"/>
                <w:kern w:val="0"/>
                <w:sz w:val="21"/>
                <w:szCs w:val="21"/>
                <w14:textFill>
                  <w14:solidFill>
                    <w14:schemeClr w14:val="tx1"/>
                  </w14:solidFill>
                </w14:textFill>
              </w:rPr>
            </w:pPr>
          </w:p>
        </w:tc>
        <w:tc>
          <w:tcPr>
            <w:tcW w:w="2577" w:type="dxa"/>
            <w:vAlign w:val="center"/>
          </w:tcPr>
          <w:p>
            <w:pPr>
              <w:spacing w:line="360" w:lineRule="auto"/>
              <w:jc w:val="center"/>
              <w:rPr>
                <w:rFonts w:ascii="Times New Roman" w:hAnsi="Times New Roman" w:cs="Times New Roman"/>
                <w:color w:val="000000" w:themeColor="text1"/>
                <w:sz w:val="21"/>
                <w:szCs w:val="21"/>
                <w14:textFill>
                  <w14:solidFill>
                    <w14:schemeClr w14:val="tx1"/>
                  </w14:solidFill>
                </w14:textFill>
              </w:rPr>
            </w:pPr>
          </w:p>
        </w:tc>
        <w:tc>
          <w:tcPr>
            <w:tcW w:w="1141" w:type="dxa"/>
            <w:vAlign w:val="center"/>
          </w:tcPr>
          <w:p>
            <w:pPr>
              <w:spacing w:line="360" w:lineRule="auto"/>
              <w:jc w:val="center"/>
              <w:rPr>
                <w:rFonts w:ascii="Times New Roman" w:hAnsi="Times New Roman" w:cs="Times New Roman"/>
                <w:color w:val="000000" w:themeColor="text1"/>
                <w:kern w:val="0"/>
                <w:sz w:val="21"/>
                <w:szCs w:val="21"/>
                <w14:textFill>
                  <w14:solidFill>
                    <w14:schemeClr w14:val="tx1"/>
                  </w14:solidFill>
                </w14:textFill>
              </w:rPr>
            </w:pPr>
          </w:p>
        </w:tc>
        <w:tc>
          <w:tcPr>
            <w:tcW w:w="1167" w:type="dxa"/>
            <w:vMerge w:val="continue"/>
            <w:tcBorders/>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82" w:type="dxa"/>
            <w:vAlign w:val="center"/>
          </w:tcPr>
          <w:p>
            <w:pPr>
              <w:spacing w:line="36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合计</w:t>
            </w:r>
          </w:p>
        </w:tc>
        <w:tc>
          <w:tcPr>
            <w:tcW w:w="7435" w:type="dxa"/>
            <w:gridSpan w:val="5"/>
            <w:vAlign w:val="center"/>
          </w:tcPr>
          <w:p>
            <w:pPr>
              <w:spacing w:line="36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82" w:type="dxa"/>
            <w:vAlign w:val="center"/>
          </w:tcPr>
          <w:p>
            <w:pPr>
              <w:spacing w:line="360" w:lineRule="auto"/>
              <w:jc w:val="center"/>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余额</w:t>
            </w:r>
          </w:p>
        </w:tc>
        <w:tc>
          <w:tcPr>
            <w:tcW w:w="7435" w:type="dxa"/>
            <w:gridSpan w:val="5"/>
            <w:vAlign w:val="center"/>
          </w:tcPr>
          <w:p>
            <w:pPr>
              <w:spacing w:line="360" w:lineRule="auto"/>
              <w:jc w:val="center"/>
              <w:rPr>
                <w:rFonts w:ascii="Times New Roman" w:hAnsi="Times New Roman" w:cs="Times New Roman"/>
                <w:sz w:val="21"/>
                <w:szCs w:val="21"/>
              </w:rPr>
            </w:pPr>
            <w:bookmarkStart w:id="0" w:name="_GoBack"/>
            <w:bookmarkEnd w:id="0"/>
          </w:p>
        </w:tc>
      </w:tr>
    </w:tbl>
    <w:p>
      <w:pPr>
        <w:numPr>
          <w:ilvl w:val="0"/>
          <w:numId w:val="0"/>
        </w:numPr>
        <w:spacing w:line="360" w:lineRule="auto"/>
        <w:rPr>
          <w:rFonts w:hint="eastAsia"/>
          <w:sz w:val="24"/>
          <w:szCs w:val="24"/>
          <w:lang w:val="en-US" w:eastAsia="zh-CN"/>
        </w:rPr>
      </w:pPr>
      <w:r>
        <w:rPr>
          <w:rFonts w:hint="eastAsia"/>
          <w:sz w:val="24"/>
          <w:szCs w:val="24"/>
          <w:lang w:val="en-US" w:eastAsia="zh-CN"/>
        </w:rPr>
        <w:t>注意：决算数应该与预算数基本一致，如果劳务与咨询超出预算过多，需要调整或者作出合理说明，有问题请及时与科研处和财务处联系。</w:t>
      </w:r>
    </w:p>
    <w:p>
      <w:pPr>
        <w:spacing w:line="360" w:lineRule="auto"/>
        <w:jc w:val="left"/>
        <w:rPr>
          <w:rFonts w:hint="eastAsia"/>
          <w:sz w:val="24"/>
          <w:szCs w:val="32"/>
        </w:rPr>
      </w:pPr>
      <w:r>
        <w:rPr>
          <w:rFonts w:hint="eastAsia"/>
          <w:sz w:val="24"/>
          <w:szCs w:val="32"/>
        </w:rPr>
        <w:t>（一）资料费：指在项目研究过程中需要支付的图书（包括外文图书）购置费，资料收集、整理、复印、翻拍、翻译费，专用软件购买费，文献检索费等。</w:t>
      </w:r>
    </w:p>
    <w:p>
      <w:pPr>
        <w:spacing w:line="360" w:lineRule="auto"/>
        <w:jc w:val="left"/>
        <w:rPr>
          <w:rFonts w:hint="eastAsia"/>
          <w:sz w:val="24"/>
          <w:szCs w:val="32"/>
        </w:rPr>
      </w:pPr>
      <w:r>
        <w:rPr>
          <w:rFonts w:hint="eastAsia"/>
          <w:sz w:val="24"/>
          <w:szCs w:val="32"/>
        </w:rPr>
        <w:t>（二）数据采集费：指在项目研究过程中发生的调查、访谈、数据购买、数据分析及相应技术服务购买等支出的费用。</w:t>
      </w:r>
    </w:p>
    <w:p>
      <w:pPr>
        <w:spacing w:line="360" w:lineRule="auto"/>
        <w:jc w:val="left"/>
        <w:rPr>
          <w:rFonts w:hint="eastAsia"/>
          <w:sz w:val="24"/>
          <w:szCs w:val="32"/>
        </w:rPr>
      </w:pPr>
      <w:r>
        <w:rPr>
          <w:rFonts w:hint="eastAsia"/>
          <w:sz w:val="24"/>
          <w:szCs w:val="32"/>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spacing w:line="360" w:lineRule="auto"/>
        <w:jc w:val="left"/>
        <w:rPr>
          <w:rFonts w:hint="eastAsia"/>
          <w:sz w:val="24"/>
          <w:szCs w:val="32"/>
        </w:rPr>
      </w:pPr>
      <w:r>
        <w:rPr>
          <w:rFonts w:hint="eastAsia"/>
          <w:sz w:val="24"/>
          <w:szCs w:val="32"/>
        </w:rPr>
        <w:t>（四）设备费：指在项目研究过程中购置设备和设备耗材、升级维护现有设备以及租用外单位设备而发生的费用。</w:t>
      </w:r>
    </w:p>
    <w:p>
      <w:pPr>
        <w:spacing w:line="360" w:lineRule="auto"/>
        <w:jc w:val="left"/>
        <w:rPr>
          <w:rFonts w:hint="eastAsia"/>
          <w:sz w:val="24"/>
          <w:szCs w:val="32"/>
        </w:rPr>
      </w:pPr>
      <w:r>
        <w:rPr>
          <w:rFonts w:hint="eastAsia"/>
          <w:sz w:val="24"/>
          <w:szCs w:val="32"/>
        </w:rPr>
        <w:t>应当严格控制设备购置，鼓励共享、租赁以及对现有设备进行升级。</w:t>
      </w:r>
    </w:p>
    <w:p>
      <w:pPr>
        <w:spacing w:line="360" w:lineRule="auto"/>
        <w:jc w:val="left"/>
        <w:rPr>
          <w:rFonts w:hint="eastAsia"/>
          <w:sz w:val="24"/>
          <w:szCs w:val="32"/>
        </w:rPr>
      </w:pPr>
      <w:r>
        <w:rPr>
          <w:rFonts w:hint="eastAsia"/>
          <w:sz w:val="24"/>
          <w:szCs w:val="32"/>
        </w:rPr>
        <w:t>（五）专家咨询费：指在项目研究过程中支付给临时聘请的咨询专家的费用。</w:t>
      </w:r>
    </w:p>
    <w:p>
      <w:pPr>
        <w:spacing w:line="360" w:lineRule="auto"/>
        <w:jc w:val="left"/>
        <w:rPr>
          <w:rFonts w:hint="eastAsia"/>
          <w:sz w:val="24"/>
          <w:szCs w:val="32"/>
        </w:rPr>
      </w:pPr>
      <w:r>
        <w:rPr>
          <w:rFonts w:hint="eastAsia"/>
          <w:sz w:val="24"/>
          <w:szCs w:val="32"/>
        </w:rPr>
        <w:t>专家咨询费预算由项目负责人按照项目研究实际需要编制，支出标准按照国家有关规定执行。</w:t>
      </w:r>
    </w:p>
    <w:p>
      <w:pPr>
        <w:spacing w:line="360" w:lineRule="auto"/>
        <w:jc w:val="left"/>
        <w:rPr>
          <w:rFonts w:hint="eastAsia"/>
          <w:sz w:val="24"/>
          <w:szCs w:val="32"/>
        </w:rPr>
      </w:pPr>
      <w:r>
        <w:rPr>
          <w:rFonts w:hint="eastAsia"/>
          <w:sz w:val="24"/>
          <w:szCs w:val="32"/>
        </w:rPr>
        <w:t>（六）劳务费：指在项目研究过程中支付给参与项目研究的研究生、博士后、访问学者以及项目聘用的研究人员、科研辅助人员等的劳务费用。</w:t>
      </w:r>
    </w:p>
    <w:p>
      <w:pPr>
        <w:spacing w:line="360" w:lineRule="auto"/>
        <w:jc w:val="left"/>
        <w:rPr>
          <w:rFonts w:hint="eastAsia"/>
          <w:sz w:val="24"/>
          <w:szCs w:val="32"/>
        </w:rPr>
      </w:pPr>
      <w:r>
        <w:rPr>
          <w:rFonts w:hint="eastAsia"/>
          <w:sz w:val="24"/>
          <w:szCs w:val="32"/>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spacing w:line="360" w:lineRule="auto"/>
        <w:jc w:val="left"/>
        <w:rPr>
          <w:rFonts w:hint="eastAsia"/>
          <w:sz w:val="24"/>
          <w:szCs w:val="32"/>
        </w:rPr>
      </w:pPr>
      <w:r>
        <w:rPr>
          <w:rFonts w:hint="eastAsia"/>
          <w:sz w:val="24"/>
          <w:szCs w:val="32"/>
        </w:rPr>
        <w:t>（七）印刷出版费：指在项目研究过程中支付的打印费、印刷费及阶段性成果出版费等。</w:t>
      </w:r>
    </w:p>
    <w:p>
      <w:pPr>
        <w:spacing w:line="360" w:lineRule="auto"/>
        <w:jc w:val="left"/>
        <w:rPr>
          <w:rFonts w:hint="eastAsia"/>
          <w:sz w:val="24"/>
          <w:szCs w:val="32"/>
        </w:rPr>
      </w:pPr>
      <w:r>
        <w:rPr>
          <w:rFonts w:hint="eastAsia"/>
          <w:sz w:val="24"/>
          <w:szCs w:val="32"/>
        </w:rPr>
        <w:t>（八）其他支出：项目研究过程中发生的除上述费用之外的其他支出，应当在编制预算时单独列示，单独核定。</w:t>
      </w:r>
    </w:p>
    <w:p>
      <w:pPr>
        <w:numPr>
          <w:ilvl w:val="0"/>
          <w:numId w:val="0"/>
        </w:numPr>
        <w:spacing w:line="360" w:lineRule="auto"/>
        <w:rPr>
          <w:rFonts w:hint="eastAsia"/>
          <w:sz w:val="24"/>
          <w:szCs w:val="24"/>
          <w:lang w:val="en-US" w:eastAsia="zh-CN"/>
        </w:rPr>
      </w:pPr>
    </w:p>
    <w:p>
      <w:pPr>
        <w:numPr>
          <w:ilvl w:val="0"/>
          <w:numId w:val="3"/>
        </w:numPr>
        <w:spacing w:line="360" w:lineRule="auto"/>
        <w:rPr>
          <w:rFonts w:hint="eastAsia"/>
          <w:sz w:val="24"/>
          <w:szCs w:val="24"/>
          <w:lang w:val="en-US" w:eastAsia="zh-CN"/>
        </w:rPr>
      </w:pPr>
      <w:r>
        <w:rPr>
          <w:rFonts w:hint="eastAsia"/>
          <w:sz w:val="24"/>
          <w:szCs w:val="24"/>
          <w:lang w:val="en-US" w:eastAsia="zh-CN"/>
        </w:rPr>
        <w:t>最终成果简介1份。</w:t>
      </w:r>
    </w:p>
    <w:p>
      <w:pPr>
        <w:numPr>
          <w:ilvl w:val="0"/>
          <w:numId w:val="0"/>
        </w:numPr>
        <w:spacing w:line="360" w:lineRule="auto"/>
        <w:rPr>
          <w:rFonts w:hint="eastAsia"/>
          <w:sz w:val="24"/>
          <w:szCs w:val="24"/>
          <w:lang w:val="en-US" w:eastAsia="zh-CN"/>
        </w:rPr>
      </w:pPr>
      <w:r>
        <w:rPr>
          <w:rFonts w:hint="eastAsia"/>
          <w:sz w:val="24"/>
          <w:szCs w:val="24"/>
          <w:lang w:val="en-US" w:eastAsia="zh-CN"/>
        </w:rPr>
        <w:t>注意：1、2、3、点所需材料，A4双面打印，左侧双订。</w:t>
      </w:r>
    </w:p>
    <w:p>
      <w:pPr>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4、最终成果以及阶段成果1份（胶装）。</w:t>
      </w:r>
    </w:p>
    <w:p>
      <w:pPr>
        <w:numPr>
          <w:ilvl w:val="0"/>
          <w:numId w:val="0"/>
        </w:num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（1）请按照《北京市社会科学基金项目成果规范细则》进行装订。</w:t>
      </w:r>
    </w:p>
    <w:p>
      <w:pPr>
        <w:numPr>
          <w:ilvl w:val="0"/>
          <w:numId w:val="0"/>
        </w:num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（2）阶段成果需要作为附录一同装订在最终成果后面，并标注页码（不能电脑标注的可以手标页码）。</w:t>
      </w:r>
    </w:p>
    <w:p>
      <w:pPr>
        <w:numPr>
          <w:ilvl w:val="0"/>
          <w:numId w:val="0"/>
        </w:num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注意：阶段成果为正式发表论文的，证明材料需提供期刊封面页、目录页、版权页、论文全文。</w:t>
      </w:r>
    </w:p>
    <w:p>
      <w:pPr>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温馨提示：上述论文材料可以在知网获得期刊主页面上获得（需使用IE浏览器）。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CAECAB"/>
    <w:multiLevelType w:val="singleLevel"/>
    <w:tmpl w:val="C9CAECAB"/>
    <w:lvl w:ilvl="0" w:tentative="0">
      <w:start w:val="3"/>
      <w:numFmt w:val="decimal"/>
      <w:suff w:val="nothing"/>
      <w:lvlText w:val="%1、"/>
      <w:lvlJc w:val="left"/>
    </w:lvl>
  </w:abstractNum>
  <w:abstractNum w:abstractNumId="1">
    <w:nsid w:val="0A196391"/>
    <w:multiLevelType w:val="singleLevel"/>
    <w:tmpl w:val="0A196391"/>
    <w:lvl w:ilvl="0" w:tentative="0">
      <w:start w:val="1"/>
      <w:numFmt w:val="chineseCounting"/>
      <w:suff w:val="nothing"/>
      <w:lvlText w:val="%1、"/>
      <w:lvlJc w:val="left"/>
      <w:rPr>
        <w:rFonts w:hint="eastAsia"/>
      </w:rPr>
    </w:lvl>
  </w:abstractNum>
  <w:abstractNum w:abstractNumId="2">
    <w:nsid w:val="261BC6B4"/>
    <w:multiLevelType w:val="singleLevel"/>
    <w:tmpl w:val="261BC6B4"/>
    <w:lvl w:ilvl="0" w:tentative="0">
      <w:start w:val="3"/>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A4"/>
    <w:rsid w:val="00A659A4"/>
    <w:rsid w:val="044D156D"/>
    <w:rsid w:val="06552B80"/>
    <w:rsid w:val="0B614361"/>
    <w:rsid w:val="0BB9483D"/>
    <w:rsid w:val="0D750AC1"/>
    <w:rsid w:val="1067129B"/>
    <w:rsid w:val="14453856"/>
    <w:rsid w:val="1EC30B53"/>
    <w:rsid w:val="22611AA3"/>
    <w:rsid w:val="232F07B2"/>
    <w:rsid w:val="2AD873EC"/>
    <w:rsid w:val="2F224CE5"/>
    <w:rsid w:val="32AC3F27"/>
    <w:rsid w:val="3987530F"/>
    <w:rsid w:val="398A74C4"/>
    <w:rsid w:val="3A9D1730"/>
    <w:rsid w:val="3C2C6A0A"/>
    <w:rsid w:val="427D63F2"/>
    <w:rsid w:val="45833DC1"/>
    <w:rsid w:val="45C31667"/>
    <w:rsid w:val="45D462CB"/>
    <w:rsid w:val="4B505088"/>
    <w:rsid w:val="6079190D"/>
    <w:rsid w:val="68D76558"/>
    <w:rsid w:val="6AC82265"/>
    <w:rsid w:val="6DDE113B"/>
    <w:rsid w:val="79771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2018-05-09T02:07:00Z</dcterms:created>
  <dc:creator>佳1413520515</dc:creator>
  <cp:lastModifiedBy>佳1413520515</cp:lastModifiedBy>
  <cp:lastPrinted>2018-10-16T02:27:00Z</cp:lastPrinted>
  <dcterms:modified xsi:type="dcterms:W3CDTF">2018-12-20T05:48:21Z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