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489D0A">
      <w:pPr>
        <w:spacing w:line="360" w:lineRule="auto"/>
        <w:jc w:val="center"/>
        <w:rPr>
          <w:rFonts w:hint="eastAsia" w:ascii="方正小标宋简体" w:eastAsia="方正小标宋简体"/>
          <w:b/>
          <w:bCs/>
          <w:sz w:val="36"/>
          <w:szCs w:val="36"/>
          <w:highlight w:val="none"/>
        </w:rPr>
      </w:pPr>
      <w:bookmarkStart w:id="0" w:name="_Hlk129703843"/>
      <w:r>
        <w:rPr>
          <w:rFonts w:hint="eastAsia" w:ascii="方正小标宋简体" w:eastAsia="方正小标宋简体"/>
          <w:b/>
          <w:bCs/>
          <w:sz w:val="36"/>
          <w:szCs w:val="36"/>
          <w:highlight w:val="none"/>
        </w:rPr>
        <w:t>城市经济与公共管理学院</w:t>
      </w:r>
      <w:r>
        <w:rPr>
          <w:rFonts w:hint="eastAsia" w:ascii="方正小标宋简体" w:eastAsia="方正小标宋简体"/>
          <w:b/>
          <w:bCs/>
          <w:sz w:val="36"/>
          <w:szCs w:val="36"/>
          <w:highlight w:val="none"/>
          <w:lang w:val="en-US" w:eastAsia="zh-CN"/>
        </w:rPr>
        <w:t>本科学生</w:t>
      </w:r>
      <w:r>
        <w:rPr>
          <w:rFonts w:hint="eastAsia" w:ascii="方正小标宋简体" w:eastAsia="方正小标宋简体"/>
          <w:b/>
          <w:bCs/>
          <w:sz w:val="36"/>
          <w:szCs w:val="36"/>
          <w:highlight w:val="none"/>
        </w:rPr>
        <w:t>综合测评办法</w:t>
      </w:r>
      <w:bookmarkEnd w:id="0"/>
    </w:p>
    <w:p w14:paraId="79E4A26C">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第一章</w:t>
      </w:r>
      <w:r>
        <w:rPr>
          <w:rFonts w:ascii="黑体" w:hAnsi="黑体" w:eastAsia="黑体"/>
          <w:b/>
          <w:bCs/>
          <w:sz w:val="28"/>
          <w:szCs w:val="28"/>
          <w:highlight w:val="none"/>
        </w:rPr>
        <w:t xml:space="preserve"> 总 则</w:t>
      </w:r>
    </w:p>
    <w:p w14:paraId="6A9D8B3F">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第一条</w:t>
      </w:r>
      <w:r>
        <w:rPr>
          <w:rFonts w:hint="eastAsia" w:ascii="仿宋_GB2312" w:eastAsia="仿宋_GB2312"/>
          <w:sz w:val="28"/>
          <w:szCs w:val="28"/>
          <w:highlight w:val="none"/>
        </w:rPr>
        <w:t xml:space="preserve"> 为了全面贯彻党的教育方针，进一步推进素质教育，鼓励学生争取优秀、发展特长、开拓创新，引导学生在知识、能力、素质诸方面协调发展，培养适应社会主义现代化建设要求的高素质创新人才，根据高等学校培养目标和我校实际，特制定本办法。</w:t>
      </w:r>
    </w:p>
    <w:p w14:paraId="6812F669">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第二条</w:t>
      </w:r>
      <w:r>
        <w:rPr>
          <w:rFonts w:hint="eastAsia" w:ascii="仿宋_GB2312" w:eastAsia="仿宋_GB2312"/>
          <w:sz w:val="28"/>
          <w:szCs w:val="28"/>
          <w:highlight w:val="none"/>
        </w:rPr>
        <w:t xml:space="preserve"> 鼓励学生在达到学校基本要求的前提下，充分发展自己的个性和特长。</w:t>
      </w:r>
    </w:p>
    <w:p w14:paraId="33DE62AF">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第三条</w:t>
      </w:r>
      <w:r>
        <w:rPr>
          <w:rFonts w:hint="eastAsia" w:ascii="仿宋_GB2312" w:eastAsia="仿宋_GB2312"/>
          <w:sz w:val="28"/>
          <w:szCs w:val="28"/>
          <w:highlight w:val="none"/>
        </w:rPr>
        <w:t xml:space="preserve"> 综合测评是对学生在校期间各方面表现的测定和评价。设定的测评指标既是评价学生的基本依据，又是学生发展的导向目标。</w:t>
      </w:r>
    </w:p>
    <w:p w14:paraId="7ABC6B89">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第四条</w:t>
      </w:r>
      <w:r>
        <w:rPr>
          <w:rFonts w:hint="eastAsia" w:ascii="仿宋_GB2312" w:eastAsia="仿宋_GB2312"/>
          <w:sz w:val="28"/>
          <w:szCs w:val="28"/>
          <w:highlight w:val="none"/>
        </w:rPr>
        <w:t xml:space="preserve"> 坚持公平、公正、公开的原则，采取定性与定量、记实测评与民主评议相结合的办法，把培养目标与测评量化指标相结合，力求科学、全面地反映学生的全貌，对学生的素质做出客观的评价。</w:t>
      </w:r>
    </w:p>
    <w:p w14:paraId="150F91B1">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第五条</w:t>
      </w:r>
      <w:r>
        <w:rPr>
          <w:rFonts w:hint="eastAsia" w:ascii="仿宋_GB2312" w:eastAsia="仿宋_GB2312"/>
          <w:sz w:val="28"/>
          <w:szCs w:val="28"/>
          <w:highlight w:val="none"/>
        </w:rPr>
        <w:t xml:space="preserve"> 综合测评办法是城市学院对学生进行综合评定的统一性执行标准。凡在本校注册并参加全日制学习的普通本（专）科生，均应依据本办法以班级（或同年级同专业，下同）为单位进行测评。</w:t>
      </w:r>
    </w:p>
    <w:p w14:paraId="2D027A4F">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第六条</w:t>
      </w:r>
      <w:r>
        <w:rPr>
          <w:rFonts w:hint="eastAsia" w:ascii="仿宋_GB2312" w:eastAsia="仿宋_GB2312"/>
          <w:sz w:val="28"/>
          <w:szCs w:val="28"/>
          <w:highlight w:val="none"/>
        </w:rPr>
        <w:t xml:space="preserve"> 综合测评按学期进行计算。每班成立由导师或班主任、团支部和班委会干部、学生代表组成的班级测评小组；由学生本人进行总结并自评计算得分，经班级测评小组评议和核查后，报院（系）审核。</w:t>
      </w:r>
    </w:p>
    <w:p w14:paraId="3A98D66C">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第七条</w:t>
      </w:r>
      <w:r>
        <w:rPr>
          <w:rFonts w:hint="eastAsia" w:ascii="仿宋_GB2312" w:eastAsia="仿宋_GB2312"/>
          <w:sz w:val="28"/>
          <w:szCs w:val="28"/>
          <w:highlight w:val="none"/>
        </w:rPr>
        <w:t xml:space="preserve"> 综合测评的结果，作为评定奖学金、评优、推荐免试研究生，以及毕业时向用人单位推荐的重要依据。</w:t>
      </w:r>
    </w:p>
    <w:p w14:paraId="5F0B61C2">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第二章</w:t>
      </w:r>
      <w:r>
        <w:rPr>
          <w:rFonts w:ascii="黑体" w:hAnsi="黑体" w:eastAsia="黑体"/>
          <w:b/>
          <w:bCs/>
          <w:sz w:val="28"/>
          <w:szCs w:val="28"/>
          <w:highlight w:val="none"/>
        </w:rPr>
        <w:t xml:space="preserve"> 指标体系及计算方法</w:t>
      </w:r>
    </w:p>
    <w:p w14:paraId="0701AE50">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第八条</w:t>
      </w:r>
      <w:r>
        <w:rPr>
          <w:rFonts w:hint="eastAsia" w:ascii="仿宋_GB2312" w:eastAsia="仿宋_GB2312"/>
          <w:sz w:val="28"/>
          <w:szCs w:val="28"/>
          <w:highlight w:val="none"/>
        </w:rPr>
        <w:t xml:space="preserve"> 综合测评成绩为基础性素质测评成绩与发展性素质测评成绩之和。</w:t>
      </w:r>
    </w:p>
    <w:p w14:paraId="58E9FB1B">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第九条</w:t>
      </w:r>
      <w:r>
        <w:rPr>
          <w:rFonts w:hint="eastAsia" w:ascii="仿宋_GB2312" w:eastAsia="仿宋_GB2312"/>
          <w:sz w:val="28"/>
          <w:szCs w:val="28"/>
          <w:highlight w:val="none"/>
        </w:rPr>
        <w:t xml:space="preserve"> 基础性素质是指学生在学校规定的教学和第二课堂中形成的德、智、体等方面的一般性素质；发展性素质是指学生在学校教育过程中形成的体现创造性和实践性的素质。</w:t>
      </w:r>
    </w:p>
    <w:p w14:paraId="4F11D8C1">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第十条</w:t>
      </w:r>
      <w:r>
        <w:rPr>
          <w:rFonts w:hint="eastAsia" w:ascii="仿宋_GB2312" w:eastAsia="仿宋_GB2312"/>
          <w:sz w:val="28"/>
          <w:szCs w:val="28"/>
          <w:highlight w:val="none"/>
        </w:rPr>
        <w:t xml:space="preserve"> 基础性素质包括思想品德、学习成绩、身心素质三个一级指标；</w:t>
      </w:r>
    </w:p>
    <w:p w14:paraId="66BB48DA">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基础性素质成绩=思想品德成绩×0.2+学习成绩×0.7+身心素质成绩×0.1</w:t>
      </w:r>
    </w:p>
    <w:p w14:paraId="0B27CF51">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（一）测评项目及基本要求</w:t>
      </w:r>
    </w:p>
    <w:p w14:paraId="235220DD">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测评内容由五个方面组成：政治思想、道德品质、集体观念、遵纪守法、社会活动。</w:t>
      </w:r>
    </w:p>
    <w:p w14:paraId="42B78D18">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1.政治思想：热爱祖国，正确理解党和国家的各项方针政策，关心国家大事，努力要求上进，有是非观念，无政治性错误。</w:t>
      </w:r>
    </w:p>
    <w:p w14:paraId="4A5B9183">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2.道德品质：有良好的文明、礼貌习惯，遵守社会公德，尊敬师长，为人正派，诚实守信，团结、关心、帮助同学，乐于为同学服务，注意节约，爱护公物，无严重违反道德的行为。</w:t>
      </w:r>
    </w:p>
    <w:p w14:paraId="5884A19D">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3.集体观念：有集体观念和集体荣誉感，正确处理集体与个人的关系，有全局观念，愿意为同学服务，积极参加各项集体活动，服从集体安排，认真完成组织布置的任务。</w:t>
      </w:r>
    </w:p>
    <w:p w14:paraId="2361E75E">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4.遵纪守法：有法律观念和纪律观念，遵守国家法律和学校的规章制度，无违法和违纪行为。</w:t>
      </w:r>
    </w:p>
    <w:p w14:paraId="5C92BE7B">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5.社会活动：在社会实践、教学实习、军训、义务劳动、社会公益活动和校、院（系）组织的重要活动中的表现。在各项活动中，遵守有关规定，努力锻炼。积极参加志愿者活动，态度端正，不计较个人得失，听从安排，认真完成所交给的工作任务。</w:t>
      </w:r>
    </w:p>
    <w:p w14:paraId="275BD2F0">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（二）计分方法</w:t>
      </w:r>
    </w:p>
    <w:p w14:paraId="639C0EAF">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每项满分 20 分，总分为 100 分。每项分为：好（20 分）、较好（19 分）、一般（18 分）、及格（15－17分）。</w:t>
      </w:r>
    </w:p>
    <w:p w14:paraId="145857F4">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（三）测评方法</w:t>
      </w:r>
    </w:p>
    <w:p w14:paraId="39549ED8">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 xml:space="preserve">各班成立测评小组，成员由班级主要干部（如班长、团支书）以及经由选举产生的威信较高的同学代表组成，评议分值由同学互评分值和教师（由辅导员、副书记为主）评议分值两部分组成。 </w:t>
      </w:r>
    </w:p>
    <w:p w14:paraId="4D5B21EE">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第十二条</w:t>
      </w:r>
      <w:r>
        <w:rPr>
          <w:rFonts w:hint="eastAsia" w:ascii="仿宋_GB2312" w:eastAsia="仿宋_GB2312"/>
          <w:sz w:val="28"/>
          <w:szCs w:val="28"/>
          <w:highlight w:val="none"/>
        </w:rPr>
        <w:t xml:space="preserve"> “学习成绩”测评</w:t>
      </w:r>
    </w:p>
    <w:p w14:paraId="06DCC3A9">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（一）课程学习成绩是指学生参加所修专业教学计划规定的必修课程、考查课程的学习及考核的成绩。成绩评定均采用百分制记分，60 分以上为及格，及格者才能取得该门课程的学分。若课程成绩评定为优、良、中、及格、不及格的，则分别换算为 95、85、75、65 分和 50 分。</w:t>
      </w:r>
    </w:p>
    <w:p w14:paraId="7FC00903">
      <w:pPr>
        <w:spacing w:line="360" w:lineRule="auto"/>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（二）根据学生在校期间所有考试及考查课程的成绩及门数按下面公式计算得出“学习成绩”分值。</w:t>
      </w:r>
    </w:p>
    <w:p w14:paraId="42BC0FA6">
      <w:pPr>
        <w:spacing w:line="360" w:lineRule="auto"/>
        <w:ind w:firstLine="560" w:firstLineChars="200"/>
        <w:jc w:val="left"/>
        <w:rPr>
          <w:rFonts w:hint="eastAsia" w:ascii="仿宋_GB2312" w:eastAsia="仿宋_GB2312"/>
          <w:sz w:val="28"/>
          <w:szCs w:val="28"/>
          <w:highlight w:val="none"/>
        </w:rPr>
      </w:pPr>
      <m:oMathPara>
        <m:oMathParaPr>
          <m:jc m:val="center"/>
        </m:oMathParaPr>
        <m:oMath>
          <m:r>
            <m:rPr>
              <m:sty m:val="p"/>
            </m:rPr>
            <w:rPr>
              <w:rFonts w:hint="eastAsia" w:ascii="Cambria Math" w:hAnsi="Cambria Math" w:eastAsia="仿宋_GB2312"/>
              <w:sz w:val="28"/>
              <w:szCs w:val="28"/>
              <w:highlight w:val="none"/>
            </w:rPr>
            <m:t>学习成绩</m:t>
          </m:r>
          <m:r>
            <m:rPr>
              <m:sty m:val="p"/>
            </m:rPr>
            <w:rPr>
              <w:rFonts w:ascii="Cambria Math" w:hAnsi="Cambria Math" w:eastAsia="仿宋_GB2312"/>
              <w:sz w:val="28"/>
              <w:szCs w:val="28"/>
              <w:highlight w:val="none"/>
            </w:rPr>
            <m:t>=</m:t>
          </m:r>
          <m:f>
            <m:fPr>
              <m:ctrlPr>
                <w:rPr>
                  <w:rFonts w:hint="eastAsia" w:ascii="Cambria Math" w:hAnsi="Cambria Math" w:eastAsia="仿宋_GB2312"/>
                  <w:iCs/>
                  <w:sz w:val="28"/>
                  <w:szCs w:val="28"/>
                  <w:highlight w:val="none"/>
                </w:rPr>
              </m:ctrlPr>
            </m:fPr>
            <m:num>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考试课程分数+</m:t>
              </m:r>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考查课程分数</m:t>
              </m:r>
              <m:ctrlPr>
                <w:rPr>
                  <w:rFonts w:hint="eastAsia" w:ascii="Cambria Math" w:hAnsi="Cambria Math" w:eastAsia="仿宋_GB2312"/>
                  <w:iCs/>
                  <w:sz w:val="28"/>
                  <w:szCs w:val="28"/>
                  <w:highlight w:val="none"/>
                </w:rPr>
              </m:ctrlPr>
            </m:num>
            <m:den>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考试课程门次+</m:t>
              </m:r>
              <m:r>
                <m:rPr>
                  <m:sty m:val="p"/>
                </m:rPr>
                <w:rPr>
                  <w:rFonts w:hint="eastAsia" w:ascii="Cambria Math" w:hAnsi="Cambria Math" w:eastAsia="仿宋_GB2312" w:cs="Calibri"/>
                  <w:sz w:val="28"/>
                  <w:szCs w:val="28"/>
                  <w:highlight w:val="none"/>
                </w:rPr>
                <m:t>∑</m:t>
              </m:r>
              <m:r>
                <m:rPr>
                  <m:sty m:val="p"/>
                </m:rPr>
                <w:rPr>
                  <w:rFonts w:hint="eastAsia" w:ascii="Cambria Math" w:hAnsi="Cambria Math" w:eastAsia="仿宋_GB2312"/>
                  <w:sz w:val="28"/>
                  <w:szCs w:val="28"/>
                  <w:highlight w:val="none"/>
                </w:rPr>
                <m:t>考查</m:t>
              </m:r>
              <m:r>
                <m:rPr>
                  <m:sty m:val="p"/>
                </m:rPr>
                <w:rPr>
                  <w:rFonts w:hint="eastAsia" w:ascii="Cambria Math" w:hAnsi="Cambria Math" w:eastAsia="仿宋_GB2312" w:cs="微软雅黑"/>
                  <w:sz w:val="28"/>
                  <w:szCs w:val="28"/>
                  <w:highlight w:val="none"/>
                </w:rPr>
                <m:t>课程门次</m:t>
              </m:r>
              <m:ctrlPr>
                <w:rPr>
                  <w:rFonts w:hint="eastAsia" w:ascii="Cambria Math" w:hAnsi="Cambria Math" w:eastAsia="仿宋_GB2312"/>
                  <w:iCs/>
                  <w:sz w:val="28"/>
                  <w:szCs w:val="28"/>
                  <w:highlight w:val="none"/>
                </w:rPr>
              </m:ctrlPr>
            </m:den>
          </m:f>
        </m:oMath>
      </m:oMathPara>
    </w:p>
    <w:p w14:paraId="79F758C0">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第十三条</w:t>
      </w:r>
      <w:r>
        <w:rPr>
          <w:rFonts w:hint="eastAsia" w:ascii="仿宋_GB2312" w:eastAsia="仿宋_GB2312"/>
          <w:sz w:val="28"/>
          <w:szCs w:val="28"/>
          <w:highlight w:val="none"/>
        </w:rPr>
        <w:t xml:space="preserve"> “身心素质”测评</w:t>
      </w:r>
    </w:p>
    <w:p w14:paraId="49ED0C8F">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身心素质主要考察学生的体育达标状况、体育锻炼状况、生活习惯状况、人际和谐状况以及心理调适能力等。</w:t>
      </w:r>
    </w:p>
    <w:p w14:paraId="1E41E603">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（一）测评项目</w:t>
      </w:r>
    </w:p>
    <w:p w14:paraId="1E48FA2A">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测评内容由四方面组成：体育课成绩、体育达标、运动参与、心理健康与社会适应能力。</w:t>
      </w:r>
    </w:p>
    <w:p w14:paraId="7CEB8981">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（二）计分方法</w:t>
      </w:r>
    </w:p>
    <w:p w14:paraId="6BD4CBA2">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总分为 100 分。</w:t>
      </w:r>
    </w:p>
    <w:p w14:paraId="1509E632">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1.育课成绩：及格（含及格）以上为 20 分。</w:t>
      </w:r>
    </w:p>
    <w:p w14:paraId="3E010B1F">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2.体育达标：达标者为 20 分；未达标者 0 分。</w:t>
      </w:r>
    </w:p>
    <w:p w14:paraId="79DDF062">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3.运动参与：基础分为 15 分，凡参加过运动队训练、运动会比赛者为 30 分。</w:t>
      </w:r>
    </w:p>
    <w:p w14:paraId="76CE8480">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4.心理健康与社会适应能力：基础分 15 分，人际关系和谐，恰当处理学习、工作、活动的关系，无心理疾病与障碍为 30 分。</w:t>
      </w:r>
    </w:p>
    <w:p w14:paraId="3E652E52">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（三）测评方法</w:t>
      </w:r>
    </w:p>
    <w:p w14:paraId="0ED11CD2">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参照“思想品德”素质测评方法，由各班成立测评小组，依据日常“记实”成绩、班级测评小组评议成绩及教师评议成绩组成“身心素质”成绩。</w:t>
      </w:r>
    </w:p>
    <w:p w14:paraId="3C61C4E4">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第十四条</w:t>
      </w:r>
      <w:r>
        <w:rPr>
          <w:rFonts w:hint="eastAsia" w:ascii="仿宋_GB2312" w:eastAsia="仿宋_GB2312"/>
          <w:sz w:val="28"/>
          <w:szCs w:val="28"/>
          <w:highlight w:val="none"/>
        </w:rPr>
        <w:t xml:space="preserve"> 发展性素质测评</w:t>
      </w:r>
    </w:p>
    <w:p w14:paraId="613F85A4">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发展性素质是指学生在学习、工作、科技和社会活动中所表现出的创新素养以及运用所掌握的知识分析和解决实际问题的能力，主要考察学生在科技学术、社会工作、文学艺术、文体竞赛以及其他实践活动等方面获得的成果。</w:t>
      </w:r>
    </w:p>
    <w:p w14:paraId="57EE3E75">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（二）以学生实际获得的荣誉称号、奖励及成果鉴定证书等为主要评价指标。所获荣誉、奖励及成果应经学生处、教务处、校团委等部门审核确认方为有效。</w:t>
      </w:r>
    </w:p>
    <w:p w14:paraId="595E13D4">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（三）发展性素质成绩=各项发展性素质加分值之和。</w:t>
      </w:r>
    </w:p>
    <w:p w14:paraId="75F80548">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（四）一般应由学生本人提供证明材料，经班级测评小组进行核查评分后，报院（系）审核，必要时可由院（系）核查鉴定并最终酌情裁定评分。</w:t>
      </w:r>
    </w:p>
    <w:p w14:paraId="7D002C1E">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第十五条</w:t>
      </w:r>
      <w:r>
        <w:rPr>
          <w:rFonts w:hint="eastAsia" w:ascii="仿宋_GB2312" w:eastAsia="仿宋_GB2312"/>
          <w:sz w:val="28"/>
          <w:szCs w:val="28"/>
          <w:highlight w:val="none"/>
        </w:rPr>
        <w:t xml:space="preserve"> 创新与创造能力</w:t>
      </w:r>
    </w:p>
    <w:p w14:paraId="3C06FAB0">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（一）科技竞赛</w:t>
      </w:r>
    </w:p>
    <w:p w14:paraId="6E14669F">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参加科研成果评比，以证书或文件为依据，按以下标准加分：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14:paraId="0FC9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B1AB31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级别</w:t>
            </w:r>
          </w:p>
        </w:tc>
        <w:tc>
          <w:tcPr>
            <w:tcW w:w="1659" w:type="dxa"/>
            <w:vAlign w:val="center"/>
          </w:tcPr>
          <w:p w14:paraId="7541596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659" w:type="dxa"/>
            <w:vAlign w:val="center"/>
          </w:tcPr>
          <w:p w14:paraId="2248BC97">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659" w:type="dxa"/>
            <w:vAlign w:val="center"/>
          </w:tcPr>
          <w:p w14:paraId="6288573D">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c>
          <w:tcPr>
            <w:tcW w:w="1660" w:type="dxa"/>
            <w:vAlign w:val="center"/>
          </w:tcPr>
          <w:p w14:paraId="1316E857">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鼓励奖</w:t>
            </w:r>
          </w:p>
        </w:tc>
      </w:tr>
      <w:tr w14:paraId="5910F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CD7F225">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全国</w:t>
            </w:r>
          </w:p>
        </w:tc>
        <w:tc>
          <w:tcPr>
            <w:tcW w:w="1659" w:type="dxa"/>
            <w:vAlign w:val="center"/>
          </w:tcPr>
          <w:p w14:paraId="3465BE3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6</w:t>
            </w:r>
          </w:p>
        </w:tc>
        <w:tc>
          <w:tcPr>
            <w:tcW w:w="1659" w:type="dxa"/>
            <w:vAlign w:val="center"/>
          </w:tcPr>
          <w:p w14:paraId="671142AD">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659" w:type="dxa"/>
            <w:vAlign w:val="center"/>
          </w:tcPr>
          <w:p w14:paraId="6B1B5B1D">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660" w:type="dxa"/>
            <w:vAlign w:val="center"/>
          </w:tcPr>
          <w:p w14:paraId="49A69D4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r>
      <w:tr w14:paraId="5AB2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B8EB5B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市级</w:t>
            </w:r>
          </w:p>
        </w:tc>
        <w:tc>
          <w:tcPr>
            <w:tcW w:w="1659" w:type="dxa"/>
            <w:vAlign w:val="center"/>
          </w:tcPr>
          <w:p w14:paraId="3D0FD297">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659" w:type="dxa"/>
            <w:vAlign w:val="center"/>
          </w:tcPr>
          <w:p w14:paraId="6F93012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659" w:type="dxa"/>
            <w:vAlign w:val="center"/>
          </w:tcPr>
          <w:p w14:paraId="2DD882EA">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60" w:type="dxa"/>
            <w:vAlign w:val="center"/>
          </w:tcPr>
          <w:p w14:paraId="217261A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0.5</w:t>
            </w:r>
          </w:p>
        </w:tc>
      </w:tr>
      <w:tr w14:paraId="4D97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73787C25">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校级</w:t>
            </w:r>
          </w:p>
        </w:tc>
        <w:tc>
          <w:tcPr>
            <w:tcW w:w="1659" w:type="dxa"/>
            <w:vAlign w:val="center"/>
          </w:tcPr>
          <w:p w14:paraId="069732D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659" w:type="dxa"/>
            <w:vAlign w:val="center"/>
          </w:tcPr>
          <w:p w14:paraId="08001A4A">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59" w:type="dxa"/>
            <w:vAlign w:val="center"/>
          </w:tcPr>
          <w:p w14:paraId="7B80E8A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0.7</w:t>
            </w:r>
          </w:p>
        </w:tc>
        <w:tc>
          <w:tcPr>
            <w:tcW w:w="1660" w:type="dxa"/>
            <w:vAlign w:val="center"/>
          </w:tcPr>
          <w:p w14:paraId="1F9305A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0.3</w:t>
            </w:r>
          </w:p>
        </w:tc>
      </w:tr>
      <w:tr w14:paraId="3D273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147273B7">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院（系）级</w:t>
            </w:r>
          </w:p>
        </w:tc>
        <w:tc>
          <w:tcPr>
            <w:tcW w:w="1659" w:type="dxa"/>
            <w:vAlign w:val="center"/>
          </w:tcPr>
          <w:p w14:paraId="652C7657">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59" w:type="dxa"/>
            <w:vAlign w:val="center"/>
          </w:tcPr>
          <w:p w14:paraId="194CEC0A">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0.7</w:t>
            </w:r>
          </w:p>
        </w:tc>
        <w:tc>
          <w:tcPr>
            <w:tcW w:w="1659" w:type="dxa"/>
            <w:vAlign w:val="center"/>
          </w:tcPr>
          <w:p w14:paraId="5C834E0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0.3</w:t>
            </w:r>
          </w:p>
        </w:tc>
        <w:tc>
          <w:tcPr>
            <w:tcW w:w="1660" w:type="dxa"/>
            <w:vAlign w:val="center"/>
          </w:tcPr>
          <w:p w14:paraId="0B8EB4B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0.1</w:t>
            </w:r>
          </w:p>
        </w:tc>
      </w:tr>
    </w:tbl>
    <w:p w14:paraId="0257814D">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说明：</w:t>
      </w:r>
    </w:p>
    <w:p w14:paraId="1E0FBF6F">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1.一人参加同一项竞赛或科研活动获多项奖的按最高项计分一次。</w:t>
      </w:r>
    </w:p>
    <w:p w14:paraId="02B5C33C">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2.一项成果由多人共同完成的，署名第一的按相应级别加分，其余降一级加分。</w:t>
      </w:r>
    </w:p>
    <w:p w14:paraId="54E9C595">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3.大科创结项需提供结项证明，参照鼓励奖加分，全组成员加分标准一致。</w:t>
      </w:r>
    </w:p>
    <w:p w14:paraId="623E12A3">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（二）公开发行刊物上发表学术论文</w:t>
      </w:r>
    </w:p>
    <w:p w14:paraId="5F029667">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在正式出版物(指有正式刊号的出版物，下同)上发表学术性论文，或在国家级正式出版物上发表文章，加 4分；在省市级正式出版物上发表文章加 2 分；在本校以外的校级正式出版物上发表文章，加 1 分；在本校校级正式出版物上发表文章，加 0.7 分。（此项以最高分值计，不累加）。</w:t>
      </w:r>
    </w:p>
    <w:p w14:paraId="3C6029A3">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(三)参加“挑战杯”、“学术杯”、“数学建模”竞赛等加分值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1774"/>
        <w:gridCol w:w="1775"/>
        <w:gridCol w:w="1775"/>
      </w:tblGrid>
      <w:tr w14:paraId="5699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53E60BA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级别</w:t>
            </w:r>
          </w:p>
        </w:tc>
        <w:tc>
          <w:tcPr>
            <w:tcW w:w="1774" w:type="dxa"/>
            <w:vAlign w:val="center"/>
          </w:tcPr>
          <w:p w14:paraId="3E90B1AE">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一等奖</w:t>
            </w:r>
          </w:p>
        </w:tc>
        <w:tc>
          <w:tcPr>
            <w:tcW w:w="1775" w:type="dxa"/>
            <w:vAlign w:val="center"/>
          </w:tcPr>
          <w:p w14:paraId="6424D9DF">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二等奖</w:t>
            </w:r>
          </w:p>
        </w:tc>
        <w:tc>
          <w:tcPr>
            <w:tcW w:w="1775" w:type="dxa"/>
            <w:vAlign w:val="center"/>
          </w:tcPr>
          <w:p w14:paraId="24D307C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三等奖</w:t>
            </w:r>
          </w:p>
        </w:tc>
      </w:tr>
      <w:tr w14:paraId="514D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14FAE50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全国“挑战杯”</w:t>
            </w:r>
          </w:p>
        </w:tc>
        <w:tc>
          <w:tcPr>
            <w:tcW w:w="1774" w:type="dxa"/>
            <w:vAlign w:val="center"/>
          </w:tcPr>
          <w:p w14:paraId="2262447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775" w:type="dxa"/>
            <w:vAlign w:val="center"/>
          </w:tcPr>
          <w:p w14:paraId="62641B9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775" w:type="dxa"/>
            <w:vAlign w:val="center"/>
          </w:tcPr>
          <w:p w14:paraId="2B07287D">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r>
      <w:tr w14:paraId="37E5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075C96B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北京市“数学建模”</w:t>
            </w:r>
          </w:p>
        </w:tc>
        <w:tc>
          <w:tcPr>
            <w:tcW w:w="1774" w:type="dxa"/>
            <w:vAlign w:val="center"/>
          </w:tcPr>
          <w:p w14:paraId="0DCCA92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1775" w:type="dxa"/>
            <w:vAlign w:val="center"/>
          </w:tcPr>
          <w:p w14:paraId="06B3FA2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1775" w:type="dxa"/>
            <w:vAlign w:val="center"/>
          </w:tcPr>
          <w:p w14:paraId="129A945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r>
      <w:tr w14:paraId="46FA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vAlign w:val="center"/>
          </w:tcPr>
          <w:p w14:paraId="5CDBFA9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校“学术杯”</w:t>
            </w:r>
          </w:p>
        </w:tc>
        <w:tc>
          <w:tcPr>
            <w:tcW w:w="1774" w:type="dxa"/>
            <w:vAlign w:val="center"/>
          </w:tcPr>
          <w:p w14:paraId="5AEF097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1775" w:type="dxa"/>
            <w:vAlign w:val="center"/>
          </w:tcPr>
          <w:p w14:paraId="567C526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1775" w:type="dxa"/>
            <w:vAlign w:val="center"/>
          </w:tcPr>
          <w:p w14:paraId="47CBEDBC">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r>
    </w:tbl>
    <w:p w14:paraId="2C921DFC">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注：学生参加的其他各类级别的学术竞赛经院（系）报送学生处审核后参照上列标准加分。</w:t>
      </w:r>
    </w:p>
    <w:p w14:paraId="5844DE33">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第十六条</w:t>
      </w:r>
      <w:r>
        <w:rPr>
          <w:rFonts w:hint="eastAsia" w:ascii="仿宋_GB2312" w:eastAsia="仿宋_GB2312"/>
          <w:sz w:val="28"/>
          <w:szCs w:val="28"/>
          <w:highlight w:val="none"/>
        </w:rPr>
        <w:t xml:space="preserve"> 技术技能</w:t>
      </w:r>
    </w:p>
    <w:p w14:paraId="6DECD5C4">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技术技能主要包括英语、计算机、社会实践方面的能力。</w:t>
      </w:r>
    </w:p>
    <w:p w14:paraId="3FED3D05">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（一）非英语专业的英语等级考试加分值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14:paraId="3B87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tcBorders>
              <w:tl2br w:val="single" w:color="auto" w:sz="4" w:space="0"/>
            </w:tcBorders>
          </w:tcPr>
          <w:p w14:paraId="3FCACAE8">
            <w:pPr>
              <w:spacing w:line="360" w:lineRule="auto"/>
              <w:jc w:val="right"/>
              <w:rPr>
                <w:rFonts w:ascii="仿宋_GB2312" w:eastAsia="仿宋_GB2312"/>
                <w:sz w:val="28"/>
                <w:szCs w:val="28"/>
                <w:highlight w:val="none"/>
              </w:rPr>
            </w:pPr>
            <w:r>
              <w:rPr>
                <w:rFonts w:hint="eastAsia" w:ascii="仿宋_GB2312" w:eastAsia="仿宋_GB2312"/>
                <w:sz w:val="28"/>
                <w:szCs w:val="28"/>
                <w:highlight w:val="none"/>
              </w:rPr>
              <w:t xml:space="preserve"> 加分  </w:t>
            </w:r>
          </w:p>
          <w:p w14:paraId="2E246E82">
            <w:pPr>
              <w:spacing w:line="360" w:lineRule="auto"/>
              <w:jc w:val="right"/>
              <w:rPr>
                <w:rFonts w:hint="eastAsia" w:ascii="仿宋_GB2312" w:eastAsia="仿宋_GB2312"/>
                <w:sz w:val="28"/>
                <w:szCs w:val="28"/>
                <w:highlight w:val="none"/>
              </w:rPr>
            </w:pPr>
          </w:p>
          <w:p w14:paraId="4CD20F31">
            <w:pPr>
              <w:spacing w:line="360" w:lineRule="auto"/>
              <w:ind w:firstLine="280" w:firstLineChars="100"/>
              <w:jc w:val="left"/>
              <w:rPr>
                <w:rFonts w:hint="eastAsia" w:ascii="仿宋_GB2312" w:eastAsia="仿宋_GB2312"/>
                <w:sz w:val="28"/>
                <w:szCs w:val="28"/>
                <w:highlight w:val="none"/>
              </w:rPr>
            </w:pPr>
            <w:r>
              <w:rPr>
                <w:rFonts w:hint="eastAsia" w:ascii="仿宋_GB2312" w:eastAsia="仿宋_GB2312"/>
                <w:sz w:val="28"/>
                <w:szCs w:val="28"/>
                <w:highlight w:val="none"/>
              </w:rPr>
              <w:t>年级</w:t>
            </w:r>
          </w:p>
        </w:tc>
        <w:tc>
          <w:tcPr>
            <w:tcW w:w="6222" w:type="dxa"/>
            <w:gridSpan w:val="3"/>
            <w:vAlign w:val="center"/>
          </w:tcPr>
          <w:p w14:paraId="7D17A951">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一般本科专业</w:t>
            </w:r>
          </w:p>
        </w:tc>
      </w:tr>
      <w:tr w14:paraId="28BF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tl2br w:val="single" w:color="auto" w:sz="4" w:space="0"/>
            </w:tcBorders>
            <w:vAlign w:val="center"/>
          </w:tcPr>
          <w:p w14:paraId="7D6309DD">
            <w:pPr>
              <w:spacing w:line="360" w:lineRule="auto"/>
              <w:jc w:val="center"/>
              <w:rPr>
                <w:rFonts w:hint="eastAsia" w:ascii="仿宋_GB2312" w:eastAsia="仿宋_GB2312"/>
                <w:sz w:val="28"/>
                <w:szCs w:val="28"/>
                <w:highlight w:val="none"/>
              </w:rPr>
            </w:pPr>
          </w:p>
        </w:tc>
        <w:tc>
          <w:tcPr>
            <w:tcW w:w="2074" w:type="dxa"/>
            <w:vAlign w:val="center"/>
          </w:tcPr>
          <w:p w14:paraId="6BD6728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四级</w:t>
            </w:r>
          </w:p>
        </w:tc>
        <w:tc>
          <w:tcPr>
            <w:tcW w:w="4148" w:type="dxa"/>
            <w:gridSpan w:val="2"/>
            <w:vAlign w:val="center"/>
          </w:tcPr>
          <w:p w14:paraId="7EDF115C">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六级</w:t>
            </w:r>
          </w:p>
        </w:tc>
      </w:tr>
      <w:tr w14:paraId="4066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Borders>
              <w:tl2br w:val="single" w:color="auto" w:sz="4" w:space="0"/>
            </w:tcBorders>
            <w:vAlign w:val="center"/>
          </w:tcPr>
          <w:p w14:paraId="1F4B0576">
            <w:pPr>
              <w:spacing w:line="360" w:lineRule="auto"/>
              <w:jc w:val="center"/>
              <w:rPr>
                <w:rFonts w:hint="eastAsia" w:ascii="仿宋_GB2312" w:eastAsia="仿宋_GB2312"/>
                <w:sz w:val="28"/>
                <w:szCs w:val="28"/>
                <w:highlight w:val="none"/>
              </w:rPr>
            </w:pPr>
          </w:p>
        </w:tc>
        <w:tc>
          <w:tcPr>
            <w:tcW w:w="2074" w:type="dxa"/>
            <w:vAlign w:val="center"/>
          </w:tcPr>
          <w:p w14:paraId="5BD63E7E">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2074" w:type="dxa"/>
            <w:vAlign w:val="center"/>
          </w:tcPr>
          <w:p w14:paraId="7B206EE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通过</w:t>
            </w:r>
          </w:p>
        </w:tc>
        <w:tc>
          <w:tcPr>
            <w:tcW w:w="2074" w:type="dxa"/>
            <w:vAlign w:val="center"/>
          </w:tcPr>
          <w:p w14:paraId="133E8BB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r>
      <w:tr w14:paraId="70FB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14:paraId="63333CD7">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一二年级</w:t>
            </w:r>
          </w:p>
        </w:tc>
        <w:tc>
          <w:tcPr>
            <w:tcW w:w="2074" w:type="dxa"/>
            <w:vAlign w:val="center"/>
          </w:tcPr>
          <w:p w14:paraId="79784156">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2074" w:type="dxa"/>
            <w:vAlign w:val="center"/>
          </w:tcPr>
          <w:p w14:paraId="262BC74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r>
              <w:rPr>
                <w:rFonts w:ascii="仿宋_GB2312" w:eastAsia="仿宋_GB2312"/>
                <w:sz w:val="28"/>
                <w:szCs w:val="28"/>
                <w:highlight w:val="none"/>
              </w:rPr>
              <w:t>.5</w:t>
            </w:r>
          </w:p>
        </w:tc>
        <w:tc>
          <w:tcPr>
            <w:tcW w:w="2074" w:type="dxa"/>
            <w:vAlign w:val="center"/>
          </w:tcPr>
          <w:p w14:paraId="6DD889D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r>
      <w:tr w14:paraId="42E63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Align w:val="center"/>
          </w:tcPr>
          <w:p w14:paraId="3760954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三四年级</w:t>
            </w:r>
          </w:p>
        </w:tc>
        <w:tc>
          <w:tcPr>
            <w:tcW w:w="2074" w:type="dxa"/>
            <w:vAlign w:val="center"/>
          </w:tcPr>
          <w:p w14:paraId="5C67E3D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w:t>
            </w:r>
            <w:r>
              <w:rPr>
                <w:rFonts w:ascii="仿宋_GB2312" w:eastAsia="仿宋_GB2312"/>
                <w:sz w:val="28"/>
                <w:szCs w:val="28"/>
                <w:highlight w:val="none"/>
              </w:rPr>
              <w:t>.5</w:t>
            </w:r>
          </w:p>
        </w:tc>
        <w:tc>
          <w:tcPr>
            <w:tcW w:w="2074" w:type="dxa"/>
            <w:vAlign w:val="center"/>
          </w:tcPr>
          <w:p w14:paraId="370DD4D6">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2074" w:type="dxa"/>
            <w:vAlign w:val="center"/>
          </w:tcPr>
          <w:p w14:paraId="5FA869EF">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r>
              <w:rPr>
                <w:rFonts w:ascii="仿宋_GB2312" w:eastAsia="仿宋_GB2312"/>
                <w:sz w:val="28"/>
                <w:szCs w:val="28"/>
                <w:highlight w:val="none"/>
              </w:rPr>
              <w:t>.5</w:t>
            </w:r>
          </w:p>
        </w:tc>
      </w:tr>
    </w:tbl>
    <w:p w14:paraId="64ECD49C">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(二)非计算机专业的计算机等级考试加分值</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868"/>
        <w:gridCol w:w="869"/>
        <w:gridCol w:w="868"/>
        <w:gridCol w:w="869"/>
        <w:gridCol w:w="869"/>
        <w:gridCol w:w="868"/>
        <w:gridCol w:w="869"/>
        <w:gridCol w:w="869"/>
      </w:tblGrid>
      <w:tr w14:paraId="5622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7" w:type="dxa"/>
            <w:vMerge w:val="restart"/>
            <w:vAlign w:val="center"/>
          </w:tcPr>
          <w:p w14:paraId="5EA8072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等级</w:t>
            </w:r>
          </w:p>
        </w:tc>
        <w:tc>
          <w:tcPr>
            <w:tcW w:w="1737" w:type="dxa"/>
            <w:gridSpan w:val="2"/>
            <w:vAlign w:val="center"/>
          </w:tcPr>
          <w:p w14:paraId="66E00D96">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一级</w:t>
            </w:r>
          </w:p>
        </w:tc>
        <w:tc>
          <w:tcPr>
            <w:tcW w:w="1737" w:type="dxa"/>
            <w:gridSpan w:val="2"/>
            <w:vAlign w:val="center"/>
          </w:tcPr>
          <w:p w14:paraId="76CFD543">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二级</w:t>
            </w:r>
          </w:p>
        </w:tc>
        <w:tc>
          <w:tcPr>
            <w:tcW w:w="1737" w:type="dxa"/>
            <w:gridSpan w:val="2"/>
            <w:vAlign w:val="center"/>
          </w:tcPr>
          <w:p w14:paraId="25427BE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三级</w:t>
            </w:r>
          </w:p>
        </w:tc>
        <w:tc>
          <w:tcPr>
            <w:tcW w:w="1738" w:type="dxa"/>
            <w:gridSpan w:val="2"/>
            <w:vAlign w:val="center"/>
          </w:tcPr>
          <w:p w14:paraId="46F5836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四级</w:t>
            </w:r>
          </w:p>
        </w:tc>
      </w:tr>
      <w:tr w14:paraId="78F0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center"/>
          </w:tcPr>
          <w:p w14:paraId="15BB77E0">
            <w:pPr>
              <w:spacing w:line="360" w:lineRule="auto"/>
              <w:jc w:val="center"/>
              <w:rPr>
                <w:rFonts w:hint="eastAsia" w:ascii="仿宋_GB2312" w:eastAsia="仿宋_GB2312"/>
                <w:sz w:val="28"/>
                <w:szCs w:val="28"/>
                <w:highlight w:val="none"/>
              </w:rPr>
            </w:pPr>
          </w:p>
        </w:tc>
        <w:tc>
          <w:tcPr>
            <w:tcW w:w="868" w:type="dxa"/>
            <w:vAlign w:val="center"/>
          </w:tcPr>
          <w:p w14:paraId="0189C95C">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9" w:type="dxa"/>
            <w:vAlign w:val="center"/>
          </w:tcPr>
          <w:p w14:paraId="03C8587E">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868" w:type="dxa"/>
            <w:vAlign w:val="center"/>
          </w:tcPr>
          <w:p w14:paraId="52802D7F">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9" w:type="dxa"/>
            <w:vAlign w:val="center"/>
          </w:tcPr>
          <w:p w14:paraId="436E029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869" w:type="dxa"/>
            <w:vAlign w:val="center"/>
          </w:tcPr>
          <w:p w14:paraId="3AC5AD4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8" w:type="dxa"/>
            <w:vAlign w:val="center"/>
          </w:tcPr>
          <w:p w14:paraId="1B577DF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c>
          <w:tcPr>
            <w:tcW w:w="869" w:type="dxa"/>
            <w:vAlign w:val="center"/>
          </w:tcPr>
          <w:p w14:paraId="25A7E336">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869" w:type="dxa"/>
            <w:vAlign w:val="center"/>
          </w:tcPr>
          <w:p w14:paraId="69B564E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优秀</w:t>
            </w:r>
          </w:p>
        </w:tc>
      </w:tr>
      <w:tr w14:paraId="284B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1D641A7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一年级</w:t>
            </w:r>
          </w:p>
        </w:tc>
        <w:tc>
          <w:tcPr>
            <w:tcW w:w="868" w:type="dxa"/>
            <w:vAlign w:val="center"/>
          </w:tcPr>
          <w:p w14:paraId="597F553F">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869" w:type="dxa"/>
            <w:vAlign w:val="center"/>
          </w:tcPr>
          <w:p w14:paraId="7FE8CF8E">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868" w:type="dxa"/>
            <w:vAlign w:val="center"/>
          </w:tcPr>
          <w:p w14:paraId="044189A6">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869" w:type="dxa"/>
            <w:vAlign w:val="center"/>
          </w:tcPr>
          <w:p w14:paraId="6EC1851D">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2.5</w:t>
            </w:r>
          </w:p>
        </w:tc>
        <w:tc>
          <w:tcPr>
            <w:tcW w:w="869" w:type="dxa"/>
            <w:vAlign w:val="center"/>
          </w:tcPr>
          <w:p w14:paraId="706F666C">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3.5</w:t>
            </w:r>
          </w:p>
        </w:tc>
        <w:tc>
          <w:tcPr>
            <w:tcW w:w="868" w:type="dxa"/>
            <w:vAlign w:val="center"/>
          </w:tcPr>
          <w:p w14:paraId="7C70C53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869" w:type="dxa"/>
            <w:vAlign w:val="center"/>
          </w:tcPr>
          <w:p w14:paraId="03F65BFD">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c>
          <w:tcPr>
            <w:tcW w:w="869" w:type="dxa"/>
            <w:vAlign w:val="center"/>
          </w:tcPr>
          <w:p w14:paraId="01F3BA7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5.5</w:t>
            </w:r>
          </w:p>
        </w:tc>
      </w:tr>
      <w:tr w14:paraId="56D9A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1D7A8CF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二年级</w:t>
            </w:r>
          </w:p>
        </w:tc>
        <w:tc>
          <w:tcPr>
            <w:tcW w:w="868" w:type="dxa"/>
            <w:vAlign w:val="center"/>
          </w:tcPr>
          <w:p w14:paraId="60083F0A">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0.5</w:t>
            </w:r>
          </w:p>
        </w:tc>
        <w:tc>
          <w:tcPr>
            <w:tcW w:w="869" w:type="dxa"/>
            <w:vAlign w:val="center"/>
          </w:tcPr>
          <w:p w14:paraId="042F1E6E">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868" w:type="dxa"/>
            <w:vAlign w:val="center"/>
          </w:tcPr>
          <w:p w14:paraId="6C3E8F96">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869" w:type="dxa"/>
            <w:vAlign w:val="center"/>
          </w:tcPr>
          <w:p w14:paraId="02D8043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w:t>
            </w:r>
          </w:p>
        </w:tc>
        <w:tc>
          <w:tcPr>
            <w:tcW w:w="869" w:type="dxa"/>
            <w:vAlign w:val="center"/>
          </w:tcPr>
          <w:p w14:paraId="6066460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868" w:type="dxa"/>
            <w:vAlign w:val="center"/>
          </w:tcPr>
          <w:p w14:paraId="30A42AD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3.5</w:t>
            </w:r>
          </w:p>
        </w:tc>
        <w:tc>
          <w:tcPr>
            <w:tcW w:w="869" w:type="dxa"/>
            <w:vAlign w:val="center"/>
          </w:tcPr>
          <w:p w14:paraId="3F2AF34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4.5</w:t>
            </w:r>
          </w:p>
        </w:tc>
        <w:tc>
          <w:tcPr>
            <w:tcW w:w="869" w:type="dxa"/>
            <w:vAlign w:val="center"/>
          </w:tcPr>
          <w:p w14:paraId="38429E7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5</w:t>
            </w:r>
          </w:p>
        </w:tc>
      </w:tr>
      <w:tr w14:paraId="25A5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13A2555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三四年级</w:t>
            </w:r>
          </w:p>
        </w:tc>
        <w:tc>
          <w:tcPr>
            <w:tcW w:w="868" w:type="dxa"/>
            <w:vAlign w:val="center"/>
          </w:tcPr>
          <w:p w14:paraId="6214805F">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w:t>
            </w:r>
          </w:p>
        </w:tc>
        <w:tc>
          <w:tcPr>
            <w:tcW w:w="869" w:type="dxa"/>
            <w:vAlign w:val="center"/>
          </w:tcPr>
          <w:p w14:paraId="26C3490C">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0.5</w:t>
            </w:r>
          </w:p>
        </w:tc>
        <w:tc>
          <w:tcPr>
            <w:tcW w:w="868" w:type="dxa"/>
            <w:vAlign w:val="center"/>
          </w:tcPr>
          <w:p w14:paraId="7A19322D">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869" w:type="dxa"/>
            <w:vAlign w:val="center"/>
          </w:tcPr>
          <w:p w14:paraId="0D07EE5E">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869" w:type="dxa"/>
            <w:vAlign w:val="center"/>
          </w:tcPr>
          <w:p w14:paraId="2954A44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2.5</w:t>
            </w:r>
          </w:p>
        </w:tc>
        <w:tc>
          <w:tcPr>
            <w:tcW w:w="868" w:type="dxa"/>
            <w:vAlign w:val="center"/>
          </w:tcPr>
          <w:p w14:paraId="78F430D8">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3</w:t>
            </w:r>
          </w:p>
        </w:tc>
        <w:tc>
          <w:tcPr>
            <w:tcW w:w="869" w:type="dxa"/>
            <w:vAlign w:val="center"/>
          </w:tcPr>
          <w:p w14:paraId="20A37AF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w:t>
            </w:r>
          </w:p>
        </w:tc>
        <w:tc>
          <w:tcPr>
            <w:tcW w:w="869" w:type="dxa"/>
            <w:vAlign w:val="center"/>
          </w:tcPr>
          <w:p w14:paraId="3424D9E0">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4.5</w:t>
            </w:r>
          </w:p>
        </w:tc>
      </w:tr>
    </w:tbl>
    <w:p w14:paraId="103A28E6">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第十七条</w:t>
      </w:r>
      <w:r>
        <w:rPr>
          <w:rFonts w:hint="eastAsia" w:ascii="仿宋_GB2312" w:eastAsia="仿宋_GB2312"/>
          <w:sz w:val="28"/>
          <w:szCs w:val="28"/>
          <w:highlight w:val="none"/>
        </w:rPr>
        <w:t xml:space="preserve"> 组织管理能力</w:t>
      </w:r>
    </w:p>
    <w:p w14:paraId="0CAD9550">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对学生干部进行统一管理，分级考核，由同学、教师进行民主评议、打分。学生干部包括校、院（部、系）学生会干部，班委、团支部成员、宿舍长等。考核分为优、良、合格、不合格四等。各等加分值如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9"/>
        <w:gridCol w:w="1659"/>
        <w:gridCol w:w="1659"/>
        <w:gridCol w:w="1659"/>
        <w:gridCol w:w="1660"/>
      </w:tblGrid>
      <w:tr w14:paraId="2A6E3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402DB305">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等级</w:t>
            </w:r>
          </w:p>
        </w:tc>
        <w:tc>
          <w:tcPr>
            <w:tcW w:w="1659" w:type="dxa"/>
            <w:vAlign w:val="center"/>
          </w:tcPr>
          <w:p w14:paraId="18A1E9DF">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优</w:t>
            </w:r>
          </w:p>
        </w:tc>
        <w:tc>
          <w:tcPr>
            <w:tcW w:w="1659" w:type="dxa"/>
            <w:vAlign w:val="center"/>
          </w:tcPr>
          <w:p w14:paraId="5EC1AFDB">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良</w:t>
            </w:r>
          </w:p>
        </w:tc>
        <w:tc>
          <w:tcPr>
            <w:tcW w:w="1659" w:type="dxa"/>
            <w:vAlign w:val="center"/>
          </w:tcPr>
          <w:p w14:paraId="7FFF7645">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合格</w:t>
            </w:r>
          </w:p>
        </w:tc>
        <w:tc>
          <w:tcPr>
            <w:tcW w:w="1660" w:type="dxa"/>
            <w:vAlign w:val="center"/>
          </w:tcPr>
          <w:p w14:paraId="691E8F5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不合格</w:t>
            </w:r>
          </w:p>
        </w:tc>
      </w:tr>
      <w:tr w14:paraId="4669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vAlign w:val="center"/>
          </w:tcPr>
          <w:p w14:paraId="07C4CF73">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分值</w:t>
            </w:r>
          </w:p>
        </w:tc>
        <w:tc>
          <w:tcPr>
            <w:tcW w:w="1659" w:type="dxa"/>
            <w:vAlign w:val="center"/>
          </w:tcPr>
          <w:p w14:paraId="0DA4C559">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2.5</w:t>
            </w:r>
          </w:p>
        </w:tc>
        <w:tc>
          <w:tcPr>
            <w:tcW w:w="1659" w:type="dxa"/>
            <w:vAlign w:val="center"/>
          </w:tcPr>
          <w:p w14:paraId="652FB71A">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1.5</w:t>
            </w:r>
          </w:p>
        </w:tc>
        <w:tc>
          <w:tcPr>
            <w:tcW w:w="1659" w:type="dxa"/>
            <w:vAlign w:val="center"/>
          </w:tcPr>
          <w:p w14:paraId="358CAC54">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1</w:t>
            </w:r>
          </w:p>
        </w:tc>
        <w:tc>
          <w:tcPr>
            <w:tcW w:w="1660" w:type="dxa"/>
            <w:vAlign w:val="center"/>
          </w:tcPr>
          <w:p w14:paraId="36E56CE2">
            <w:pPr>
              <w:spacing w:line="360" w:lineRule="auto"/>
              <w:jc w:val="center"/>
              <w:rPr>
                <w:rFonts w:hint="eastAsia" w:ascii="仿宋_GB2312" w:eastAsia="仿宋_GB2312"/>
                <w:sz w:val="28"/>
                <w:szCs w:val="28"/>
                <w:highlight w:val="none"/>
              </w:rPr>
            </w:pPr>
            <w:r>
              <w:rPr>
                <w:rFonts w:hint="eastAsia" w:ascii="仿宋_GB2312" w:eastAsia="仿宋_GB2312"/>
                <w:sz w:val="28"/>
                <w:szCs w:val="28"/>
                <w:highlight w:val="none"/>
              </w:rPr>
              <w:t>0</w:t>
            </w:r>
          </w:p>
        </w:tc>
      </w:tr>
    </w:tbl>
    <w:p w14:paraId="654EEB6E">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（二）被评为校、市、国家级三好学生、优秀学生干部、优秀团干部、优秀团员称号者，加分标准分别为 3、4、5 分（此项以最高分计，与考核等级不重复加分）。</w:t>
      </w:r>
    </w:p>
    <w:p w14:paraId="16DE2D9F">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第十八条</w:t>
      </w:r>
      <w:r>
        <w:rPr>
          <w:rFonts w:hint="eastAsia" w:ascii="仿宋_GB2312" w:eastAsia="仿宋_GB2312"/>
          <w:sz w:val="28"/>
          <w:szCs w:val="28"/>
          <w:highlight w:val="none"/>
        </w:rPr>
        <w:t xml:space="preserve"> 体育特长</w:t>
      </w:r>
    </w:p>
    <w:p w14:paraId="34349609">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国家级运动会或正式体育赛事，取得前八名成绩运动员加 5 分；北京市级运动会或正式体育赛事取得前六名成绩运动员加 3 分；校运动会获前三名成绩运动员加 1 分。此项成绩不迭加，以最高单项分值计算。</w:t>
      </w:r>
    </w:p>
    <w:p w14:paraId="7DF2220A">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第十九条</w:t>
      </w:r>
      <w:r>
        <w:rPr>
          <w:rFonts w:hint="eastAsia" w:ascii="仿宋_GB2312" w:eastAsia="仿宋_GB2312"/>
          <w:sz w:val="28"/>
          <w:szCs w:val="28"/>
          <w:highlight w:val="none"/>
        </w:rPr>
        <w:t xml:space="preserve"> 文艺特长</w:t>
      </w:r>
    </w:p>
    <w:p w14:paraId="00884F72">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在全国大学生艺术节上获一、二、三等奖的，加 5 分；在北京市大学生艺术节上获一、二、三等奖的，加 3分；在校大学生艺术节上获一、二、三等奖的，加 1 分；此项成绩不迭加，以最高单项分值计算。</w:t>
      </w:r>
    </w:p>
    <w:p w14:paraId="0BAA0E42">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第二十条</w:t>
      </w:r>
      <w:r>
        <w:rPr>
          <w:rFonts w:hint="eastAsia" w:ascii="仿宋_GB2312" w:eastAsia="仿宋_GB2312"/>
          <w:sz w:val="28"/>
          <w:szCs w:val="28"/>
          <w:highlight w:val="none"/>
        </w:rPr>
        <w:t xml:space="preserve"> 特殊加分</w:t>
      </w:r>
    </w:p>
    <w:p w14:paraId="5F069229">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（一）学年内被评为校级文明宿舍的，宿舍成员每人加 0,5 分，其中宿舍长加 1 分。</w:t>
      </w:r>
    </w:p>
    <w:p w14:paraId="0110C356">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（二）参加无偿献血者，加 2 分；在校期间多次参加无偿献血者（两次及以上），加 3 分。</w:t>
      </w:r>
    </w:p>
    <w:p w14:paraId="5365286B">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（三）被授予校级以上（含校级）其他荣誉称号者、受各级组织通报表扬者以及本办法未能涵盖的发展性素质加分项，经学生处认定，参照以上加分标准确定加分值。</w:t>
      </w:r>
    </w:p>
    <w:p w14:paraId="302498B3">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（四）学年内被评为先进班集体，优良学风班等荣誉称号的班级，班级内每人加1分。</w:t>
      </w:r>
    </w:p>
    <w:p w14:paraId="7C853E8E">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（五）参与“一二·九”、五四歌会及团体操等校级大型团体活动的学生，获奖加1分。</w:t>
      </w:r>
    </w:p>
    <w:p w14:paraId="4EA7E20F">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（六）参与校级大型比赛竞赛的学生，获奖加1分。</w:t>
      </w:r>
    </w:p>
    <w:p w14:paraId="559F8DCA">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（七）学院附加分。</w:t>
      </w:r>
    </w:p>
    <w:p w14:paraId="44E9A0DC">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注：只有测评本学年获得的奖项才能申请加分，且所有奖项需同时提供纸质版和电子版的证明。</w:t>
      </w:r>
    </w:p>
    <w:p w14:paraId="6517B86D">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第三章</w:t>
      </w:r>
      <w:r>
        <w:rPr>
          <w:rFonts w:ascii="黑体" w:hAnsi="黑体" w:eastAsia="黑体"/>
          <w:b/>
          <w:bCs/>
          <w:sz w:val="28"/>
          <w:szCs w:val="28"/>
          <w:highlight w:val="none"/>
        </w:rPr>
        <w:t xml:space="preserve"> 测评结果及其应用</w:t>
      </w:r>
    </w:p>
    <w:p w14:paraId="5E54CFA4">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第二十一条</w:t>
      </w:r>
      <w:r>
        <w:rPr>
          <w:rFonts w:hint="eastAsia" w:ascii="仿宋_GB2312" w:eastAsia="仿宋_GB2312"/>
          <w:sz w:val="28"/>
          <w:szCs w:val="28"/>
          <w:highlight w:val="none"/>
        </w:rPr>
        <w:t xml:space="preserve"> 测评结果体现学生综合素质的相对水平，作为下列各项工作的依据：</w:t>
      </w:r>
    </w:p>
    <w:p w14:paraId="77398B87">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（一）评定各类奖学金的基本依据；</w:t>
      </w:r>
    </w:p>
    <w:p w14:paraId="265678DC">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（二）评选优秀学生干部、三好学生、优秀毕业生等先进个人荣誉称号的基本依据；</w:t>
      </w:r>
    </w:p>
    <w:p w14:paraId="00CA9225">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（三）评选先进班集体等先进集体荣誉称号的基本依据之一；</w:t>
      </w:r>
    </w:p>
    <w:p w14:paraId="37F21C03">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（四）审批困难补助、减免学费申请等学生资助项目的考查依据之一；</w:t>
      </w:r>
    </w:p>
    <w:p w14:paraId="2C62183C">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（五）毕业生就业推荐、与学生家长沟通等工作的基本依据之一；</w:t>
      </w:r>
    </w:p>
    <w:p w14:paraId="59C6B9A3">
      <w:pPr>
        <w:spacing w:line="360" w:lineRule="auto"/>
        <w:ind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（六）推荐免试研究生的参考依据。</w:t>
      </w:r>
    </w:p>
    <w:p w14:paraId="026D0EDA">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第二十二条</w:t>
      </w:r>
      <w:r>
        <w:rPr>
          <w:rFonts w:hint="eastAsia" w:ascii="仿宋_GB2312" w:eastAsia="仿宋_GB2312"/>
          <w:sz w:val="28"/>
          <w:szCs w:val="28"/>
          <w:highlight w:val="none"/>
        </w:rPr>
        <w:t xml:space="preserve"> 在评奖评优中，考虑到基础性素质和发展性素质的双重作用，评奖原则为：根据奖学金比例，按基础性素质测评成绩排序确定获奖资格人选，按发展性素质排序确定最终奖项分配。</w:t>
      </w:r>
    </w:p>
    <w:p w14:paraId="6607B97B">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第二十三条</w:t>
      </w:r>
      <w:r>
        <w:rPr>
          <w:rFonts w:hint="eastAsia" w:ascii="仿宋_GB2312" w:eastAsia="仿宋_GB2312"/>
          <w:sz w:val="28"/>
          <w:szCs w:val="28"/>
          <w:highlight w:val="none"/>
        </w:rPr>
        <w:t xml:space="preserve"> 在综合测评中弄虚作假、虚报成果的，经核实后扣除所获得的评分，并可视为基本素质测评不合格。</w:t>
      </w:r>
    </w:p>
    <w:p w14:paraId="22BB55B0">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第四章</w:t>
      </w:r>
      <w:r>
        <w:rPr>
          <w:rFonts w:ascii="黑体" w:hAnsi="黑体" w:eastAsia="黑体"/>
          <w:b/>
          <w:bCs/>
          <w:sz w:val="28"/>
          <w:szCs w:val="28"/>
          <w:highlight w:val="none"/>
        </w:rPr>
        <w:t xml:space="preserve"> 组织实施</w:t>
      </w:r>
    </w:p>
    <w:p w14:paraId="1906AD3F">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第二十四条</w:t>
      </w:r>
      <w:r>
        <w:rPr>
          <w:rFonts w:hint="eastAsia" w:ascii="仿宋_GB2312" w:eastAsia="仿宋_GB2312"/>
          <w:sz w:val="28"/>
          <w:szCs w:val="28"/>
          <w:highlight w:val="none"/>
        </w:rPr>
        <w:t xml:space="preserve"> 城市学院成立以分管学生工作的党总支书记（副书记）为组长的学生综合测评工作领导小组，实行书记（副书记）负责制，根据本办法对本院的学生综合素质进行测评。</w:t>
      </w:r>
    </w:p>
    <w:p w14:paraId="331043CB">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第二十五条</w:t>
      </w:r>
      <w:r>
        <w:rPr>
          <w:rFonts w:hint="eastAsia" w:ascii="仿宋_GB2312" w:eastAsia="仿宋_GB2312"/>
          <w:sz w:val="28"/>
          <w:szCs w:val="28"/>
          <w:highlight w:val="none"/>
        </w:rPr>
        <w:t xml:space="preserve"> 测评结果经本院审核后，在本测评单位内公布。若有异议，应在一周内由本院核查后作出裁决。</w:t>
      </w:r>
    </w:p>
    <w:p w14:paraId="6F3B7A4B">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第二十六条</w:t>
      </w:r>
      <w:r>
        <w:rPr>
          <w:rFonts w:hint="eastAsia" w:ascii="仿宋_GB2312" w:eastAsia="仿宋_GB2312"/>
          <w:sz w:val="28"/>
          <w:szCs w:val="28"/>
          <w:highlight w:val="none"/>
        </w:rPr>
        <w:t xml:space="preserve"> 测评结果经公示无异议后，报学生处备案。学生综合素质测评工作每学期进行一次，于新学期开学后第一周进行。</w:t>
      </w:r>
    </w:p>
    <w:p w14:paraId="548D0152">
      <w:pPr>
        <w:spacing w:line="360" w:lineRule="auto"/>
        <w:ind w:firstLine="560" w:firstLineChars="200"/>
        <w:jc w:val="left"/>
        <w:rPr>
          <w:rFonts w:hint="eastAsia" w:ascii="仿宋_GB2312" w:eastAsia="仿宋_GB2312"/>
          <w:sz w:val="28"/>
          <w:szCs w:val="28"/>
          <w:highlight w:val="none"/>
        </w:rPr>
      </w:pPr>
    </w:p>
    <w:p w14:paraId="16A2348B">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第五章</w:t>
      </w:r>
      <w:r>
        <w:rPr>
          <w:rFonts w:ascii="黑体" w:hAnsi="黑体" w:eastAsia="黑体"/>
          <w:b/>
          <w:bCs/>
          <w:sz w:val="28"/>
          <w:szCs w:val="28"/>
          <w:highlight w:val="none"/>
        </w:rPr>
        <w:t xml:space="preserve"> 附 则</w:t>
      </w:r>
    </w:p>
    <w:p w14:paraId="009FC46B">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第二十七条</w:t>
      </w:r>
      <w:r>
        <w:rPr>
          <w:rFonts w:hint="eastAsia" w:ascii="仿宋_GB2312" w:eastAsia="仿宋_GB2312"/>
          <w:sz w:val="28"/>
          <w:szCs w:val="28"/>
          <w:highlight w:val="none"/>
        </w:rPr>
        <w:t xml:space="preserve"> 学院附加分评定标准详见《城市经济与公共管理学院本科生综合素质测评附加分管理办法》。</w:t>
      </w:r>
    </w:p>
    <w:p w14:paraId="2A06890D">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第二十八条</w:t>
      </w:r>
      <w:r>
        <w:rPr>
          <w:rFonts w:hint="eastAsia" w:ascii="仿宋_GB2312" w:eastAsia="仿宋_GB2312"/>
          <w:b/>
          <w:bCs/>
          <w:sz w:val="28"/>
          <w:szCs w:val="28"/>
          <w:highlight w:val="none"/>
          <w:lang w:val="en-US" w:eastAsia="zh-CN"/>
        </w:rPr>
        <w:t xml:space="preserve"> </w:t>
      </w:r>
      <w:r>
        <w:rPr>
          <w:rFonts w:hint="eastAsia" w:ascii="仿宋_GB2312" w:eastAsia="仿宋_GB2312"/>
          <w:sz w:val="28"/>
          <w:szCs w:val="28"/>
          <w:highlight w:val="none"/>
          <w:lang w:val="en-US" w:eastAsia="zh-CN"/>
        </w:rPr>
        <w:t>本办法除第十五条说明三、第二十条特殊加分四到七外，均应以学生入学当年学生手册内容为准。</w:t>
      </w:r>
    </w:p>
    <w:p w14:paraId="45A8A923">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第二十</w:t>
      </w:r>
      <w:r>
        <w:rPr>
          <w:rFonts w:hint="eastAsia" w:ascii="仿宋_GB2312" w:eastAsia="仿宋_GB2312"/>
          <w:b/>
          <w:bCs/>
          <w:sz w:val="28"/>
          <w:szCs w:val="28"/>
          <w:highlight w:val="none"/>
          <w:lang w:val="en-US" w:eastAsia="zh-CN"/>
        </w:rPr>
        <w:t>九</w:t>
      </w:r>
      <w:r>
        <w:rPr>
          <w:rFonts w:hint="eastAsia" w:ascii="仿宋_GB2312" w:eastAsia="仿宋_GB2312"/>
          <w:b/>
          <w:bCs/>
          <w:sz w:val="28"/>
          <w:szCs w:val="28"/>
          <w:highlight w:val="none"/>
        </w:rPr>
        <w:t>条</w:t>
      </w:r>
      <w:r>
        <w:rPr>
          <w:rFonts w:hint="eastAsia" w:ascii="仿宋_GB2312" w:eastAsia="仿宋_GB2312"/>
          <w:sz w:val="28"/>
          <w:szCs w:val="28"/>
          <w:highlight w:val="none"/>
        </w:rPr>
        <w:t xml:space="preserve"> 本办法从发布之日起执行。</w:t>
      </w:r>
    </w:p>
    <w:p w14:paraId="533E3E38">
      <w:pPr>
        <w:spacing w:line="360" w:lineRule="auto"/>
        <w:ind w:firstLine="562" w:firstLineChars="200"/>
        <w:jc w:val="left"/>
        <w:rPr>
          <w:rFonts w:hint="eastAsia" w:ascii="仿宋_GB2312" w:eastAsia="仿宋_GB2312"/>
          <w:sz w:val="28"/>
          <w:szCs w:val="28"/>
          <w:highlight w:val="none"/>
        </w:rPr>
      </w:pPr>
      <w:r>
        <w:rPr>
          <w:rFonts w:hint="eastAsia" w:ascii="仿宋_GB2312" w:eastAsia="仿宋_GB2312"/>
          <w:b/>
          <w:bCs/>
          <w:sz w:val="28"/>
          <w:szCs w:val="28"/>
          <w:highlight w:val="none"/>
        </w:rPr>
        <w:t>第</w:t>
      </w:r>
      <w:r>
        <w:rPr>
          <w:rFonts w:hint="eastAsia" w:ascii="仿宋_GB2312" w:eastAsia="仿宋_GB2312"/>
          <w:b/>
          <w:bCs/>
          <w:sz w:val="28"/>
          <w:szCs w:val="28"/>
          <w:highlight w:val="none"/>
          <w:lang w:val="en-US" w:eastAsia="zh-CN"/>
        </w:rPr>
        <w:t>三</w:t>
      </w:r>
      <w:r>
        <w:rPr>
          <w:rFonts w:hint="eastAsia" w:ascii="仿宋_GB2312" w:eastAsia="仿宋_GB2312"/>
          <w:b/>
          <w:bCs/>
          <w:sz w:val="28"/>
          <w:szCs w:val="28"/>
          <w:highlight w:val="none"/>
        </w:rPr>
        <w:t>十条</w:t>
      </w:r>
      <w:r>
        <w:rPr>
          <w:rFonts w:hint="eastAsia" w:ascii="仿宋_GB2312" w:eastAsia="仿宋_GB2312"/>
          <w:sz w:val="28"/>
          <w:szCs w:val="28"/>
          <w:highlight w:val="none"/>
        </w:rPr>
        <w:t xml:space="preserve"> 本办法由</w:t>
      </w:r>
      <w:r>
        <w:rPr>
          <w:rFonts w:hint="eastAsia" w:ascii="仿宋_GB2312" w:eastAsia="仿宋_GB2312"/>
          <w:sz w:val="28"/>
          <w:szCs w:val="28"/>
          <w:highlight w:val="none"/>
          <w:lang w:val="en-US" w:eastAsia="zh-CN"/>
        </w:rPr>
        <w:t>城市经济与公共管理学院学生工作办公室</w:t>
      </w:r>
      <w:r>
        <w:rPr>
          <w:rFonts w:hint="eastAsia" w:ascii="仿宋_GB2312" w:eastAsia="仿宋_GB2312"/>
          <w:sz w:val="28"/>
          <w:szCs w:val="28"/>
          <w:highlight w:val="none"/>
        </w:rPr>
        <w:t>负责解释。</w:t>
      </w:r>
    </w:p>
    <w:p w14:paraId="6F148ACC">
      <w:pPr>
        <w:spacing w:line="360" w:lineRule="auto"/>
        <w:ind w:firstLine="560" w:firstLineChars="200"/>
        <w:jc w:val="left"/>
        <w:rPr>
          <w:rFonts w:hint="eastAsia" w:ascii="仿宋_GB2312" w:eastAsia="仿宋_GB2312"/>
          <w:sz w:val="28"/>
          <w:szCs w:val="28"/>
          <w:highlight w:val="none"/>
        </w:rPr>
      </w:pPr>
    </w:p>
    <w:p w14:paraId="021A93E0">
      <w:pPr>
        <w:spacing w:line="360" w:lineRule="auto"/>
        <w:ind w:firstLine="560" w:firstLineChars="200"/>
        <w:jc w:val="left"/>
        <w:rPr>
          <w:rFonts w:hint="eastAsia" w:ascii="仿宋_GB2312" w:eastAsia="仿宋_GB2312"/>
          <w:sz w:val="28"/>
          <w:szCs w:val="28"/>
          <w:highlight w:val="none"/>
        </w:rPr>
      </w:pPr>
    </w:p>
    <w:p w14:paraId="27C98EAB">
      <w:pPr>
        <w:spacing w:line="360" w:lineRule="auto"/>
        <w:ind w:firstLine="560" w:firstLineChars="200"/>
        <w:jc w:val="left"/>
        <w:rPr>
          <w:rFonts w:hint="eastAsia" w:ascii="仿宋_GB2312" w:eastAsia="仿宋_GB2312"/>
          <w:sz w:val="28"/>
          <w:szCs w:val="28"/>
          <w:highlight w:val="none"/>
        </w:rPr>
      </w:pPr>
    </w:p>
    <w:p w14:paraId="0FA3D963">
      <w:pPr>
        <w:spacing w:line="360" w:lineRule="auto"/>
        <w:ind w:firstLine="560" w:firstLineChars="200"/>
        <w:jc w:val="left"/>
        <w:rPr>
          <w:rFonts w:hint="eastAsia" w:ascii="仿宋_GB2312" w:eastAsia="仿宋_GB2312"/>
          <w:sz w:val="28"/>
          <w:szCs w:val="28"/>
          <w:highlight w:val="none"/>
        </w:rPr>
      </w:pPr>
    </w:p>
    <w:p w14:paraId="0DA421B4">
      <w:pPr>
        <w:spacing w:line="360" w:lineRule="auto"/>
        <w:ind w:firstLine="560" w:firstLineChars="200"/>
        <w:jc w:val="left"/>
        <w:rPr>
          <w:rFonts w:hint="eastAsia" w:ascii="仿宋_GB2312" w:eastAsia="仿宋_GB2312"/>
          <w:sz w:val="28"/>
          <w:szCs w:val="28"/>
          <w:highlight w:val="none"/>
        </w:rPr>
      </w:pPr>
    </w:p>
    <w:p w14:paraId="47625504">
      <w:pPr>
        <w:spacing w:line="360" w:lineRule="auto"/>
        <w:ind w:firstLine="560" w:firstLineChars="200"/>
        <w:jc w:val="left"/>
        <w:rPr>
          <w:rFonts w:hint="eastAsia" w:ascii="仿宋_GB2312" w:eastAsia="仿宋_GB2312"/>
          <w:sz w:val="28"/>
          <w:szCs w:val="28"/>
          <w:highlight w:val="none"/>
        </w:rPr>
      </w:pPr>
    </w:p>
    <w:p w14:paraId="79C1B1CC">
      <w:pPr>
        <w:spacing w:line="360" w:lineRule="auto"/>
        <w:ind w:firstLine="560" w:firstLineChars="200"/>
        <w:jc w:val="left"/>
        <w:rPr>
          <w:rFonts w:hint="eastAsia" w:ascii="仿宋_GB2312" w:eastAsia="仿宋_GB2312"/>
          <w:sz w:val="28"/>
          <w:szCs w:val="28"/>
          <w:highlight w:val="none"/>
        </w:rPr>
      </w:pPr>
    </w:p>
    <w:p w14:paraId="20AB5C8D">
      <w:pPr>
        <w:spacing w:line="360" w:lineRule="auto"/>
        <w:ind w:firstLine="560" w:firstLineChars="200"/>
        <w:jc w:val="left"/>
        <w:rPr>
          <w:rFonts w:hint="eastAsia" w:ascii="仿宋_GB2312" w:eastAsia="仿宋_GB2312"/>
          <w:sz w:val="28"/>
          <w:szCs w:val="28"/>
          <w:highlight w:val="none"/>
        </w:rPr>
      </w:pPr>
    </w:p>
    <w:p w14:paraId="518165FA">
      <w:pPr>
        <w:spacing w:line="360" w:lineRule="auto"/>
        <w:ind w:firstLine="560" w:firstLineChars="200"/>
        <w:jc w:val="left"/>
        <w:rPr>
          <w:rFonts w:hint="eastAsia" w:ascii="仿宋_GB2312" w:eastAsia="仿宋_GB2312"/>
          <w:sz w:val="28"/>
          <w:szCs w:val="28"/>
          <w:highlight w:val="none"/>
        </w:rPr>
      </w:pPr>
    </w:p>
    <w:p w14:paraId="6E3A7E7E">
      <w:pPr>
        <w:spacing w:line="360" w:lineRule="auto"/>
        <w:ind w:firstLine="560" w:firstLineChars="200"/>
        <w:jc w:val="left"/>
        <w:rPr>
          <w:rFonts w:hint="eastAsia" w:ascii="仿宋_GB2312" w:eastAsia="仿宋_GB2312"/>
          <w:sz w:val="28"/>
          <w:szCs w:val="28"/>
          <w:highlight w:val="none"/>
        </w:rPr>
      </w:pPr>
    </w:p>
    <w:p w14:paraId="5ACCA4BE">
      <w:pPr>
        <w:spacing w:line="360" w:lineRule="auto"/>
        <w:ind w:firstLine="560" w:firstLineChars="200"/>
        <w:jc w:val="left"/>
        <w:rPr>
          <w:rFonts w:hint="eastAsia" w:ascii="仿宋_GB2312" w:eastAsia="仿宋_GB2312"/>
          <w:sz w:val="28"/>
          <w:szCs w:val="28"/>
          <w:highlight w:val="none"/>
        </w:rPr>
      </w:pPr>
    </w:p>
    <w:p w14:paraId="4BEB3CE6">
      <w:pPr>
        <w:spacing w:line="360" w:lineRule="auto"/>
        <w:ind w:firstLine="560" w:firstLineChars="200"/>
        <w:jc w:val="left"/>
        <w:rPr>
          <w:rFonts w:hint="eastAsia" w:ascii="仿宋_GB2312" w:eastAsia="仿宋_GB2312"/>
          <w:sz w:val="28"/>
          <w:szCs w:val="28"/>
          <w:highlight w:val="none"/>
        </w:rPr>
      </w:pPr>
    </w:p>
    <w:p w14:paraId="10F77D9B">
      <w:pPr>
        <w:widowControl/>
        <w:spacing w:line="360" w:lineRule="auto"/>
        <w:ind w:firstLine="560" w:firstLineChars="200"/>
        <w:jc w:val="right"/>
        <w:rPr>
          <w:rFonts w:hint="eastAsia" w:ascii="仿宋_GB2312" w:hAnsi="Times New Roman" w:eastAsia="仿宋_GB2312" w:cs="Times New Roman"/>
          <w:kern w:val="0"/>
          <w:sz w:val="28"/>
          <w:szCs w:val="28"/>
          <w:highlight w:val="none"/>
        </w:rPr>
      </w:pPr>
      <w:r>
        <w:rPr>
          <w:rFonts w:hint="eastAsia" w:ascii="仿宋_GB2312" w:hAnsi="Times New Roman" w:eastAsia="仿宋_GB2312" w:cs="Times New Roman"/>
          <w:kern w:val="0"/>
          <w:sz w:val="28"/>
          <w:szCs w:val="28"/>
          <w:highlight w:val="none"/>
        </w:rPr>
        <w:t>城市经济与公共管理学院</w:t>
      </w:r>
    </w:p>
    <w:p w14:paraId="5528402B">
      <w:pPr>
        <w:widowControl/>
        <w:spacing w:line="360" w:lineRule="auto"/>
        <w:ind w:firstLine="560" w:firstLineChars="200"/>
        <w:jc w:val="right"/>
        <w:rPr>
          <w:rFonts w:hint="eastAsia" w:ascii="仿宋_GB2312" w:eastAsia="仿宋_GB2312"/>
          <w:sz w:val="28"/>
          <w:szCs w:val="28"/>
          <w:highlight w:val="none"/>
        </w:rPr>
      </w:pPr>
      <w:r>
        <w:rPr>
          <w:rFonts w:hint="eastAsia" w:ascii="仿宋_GB2312" w:hAnsi="Times New Roman" w:eastAsia="仿宋_GB2312" w:cs="Times New Roman"/>
          <w:kern w:val="0"/>
          <w:sz w:val="28"/>
          <w:szCs w:val="28"/>
          <w:highlight w:val="none"/>
        </w:rPr>
        <w:t>2023年</w:t>
      </w:r>
      <w:r>
        <w:rPr>
          <w:rFonts w:hint="eastAsia" w:ascii="仿宋_GB2312" w:hAnsi="Times New Roman" w:eastAsia="仿宋_GB2312" w:cs="Times New Roman"/>
          <w:kern w:val="0"/>
          <w:sz w:val="28"/>
          <w:szCs w:val="28"/>
          <w:highlight w:val="none"/>
          <w:lang w:val="en-US" w:eastAsia="zh-CN"/>
        </w:rPr>
        <w:t>3</w:t>
      </w:r>
      <w:r>
        <w:rPr>
          <w:rFonts w:hint="eastAsia" w:ascii="仿宋_GB2312" w:hAnsi="Times New Roman" w:eastAsia="仿宋_GB2312" w:cs="Times New Roman"/>
          <w:kern w:val="0"/>
          <w:sz w:val="28"/>
          <w:szCs w:val="28"/>
          <w:highlight w:val="none"/>
        </w:rPr>
        <w:t>月</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F8D6F7-920A-49C8-9663-ED47B46F0F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0084C801-7831-474D-B11E-30CC03192BB5}"/>
  </w:font>
  <w:font w:name="等线">
    <w:panose1 w:val="02010600030101010101"/>
    <w:charset w:val="86"/>
    <w:family w:val="auto"/>
    <w:pitch w:val="default"/>
    <w:sig w:usb0="A00002BF" w:usb1="38CF7CFA" w:usb2="00000016" w:usb3="00000000" w:csb0="0004000F" w:csb1="00000000"/>
    <w:embedRegular r:id="rId3" w:fontKey="{C7BD34EF-ADC1-4648-BC6E-AF5F8E12B704}"/>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B28FDC2A-1425-40C6-9F87-EA6A684010DF}"/>
  </w:font>
  <w:font w:name="Cambria Math">
    <w:panose1 w:val="02040503050406030204"/>
    <w:charset w:val="00"/>
    <w:family w:val="roman"/>
    <w:pitch w:val="default"/>
    <w:sig w:usb0="E00006FF" w:usb1="420024FF" w:usb2="02000000" w:usb3="00000000" w:csb0="2000019F" w:csb1="00000000"/>
    <w:embedRegular r:id="rId5" w:fontKey="{058DC044-3887-454A-BD75-4BB5C987A4DF}"/>
  </w:font>
  <w:font w:name="微软雅黑">
    <w:panose1 w:val="020B0503020204020204"/>
    <w:charset w:val="86"/>
    <w:family w:val="swiss"/>
    <w:pitch w:val="default"/>
    <w:sig w:usb0="80000287" w:usb1="2ACF3C50" w:usb2="00000016" w:usb3="00000000" w:csb0="0004001F" w:csb1="00000000"/>
    <w:embedRegular r:id="rId6" w:fontKey="{73986402-E063-4378-9657-51D9D2A456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0ZTNmNDVkNWY5MDE2MDg0ZTdhMzdjZjA1ODVlNDgifQ=="/>
  </w:docVars>
  <w:rsids>
    <w:rsidRoot w:val="001A4DC4"/>
    <w:rsid w:val="00183661"/>
    <w:rsid w:val="00186583"/>
    <w:rsid w:val="001A4DC4"/>
    <w:rsid w:val="001E14A1"/>
    <w:rsid w:val="002625F4"/>
    <w:rsid w:val="004C0664"/>
    <w:rsid w:val="006B1666"/>
    <w:rsid w:val="007556D0"/>
    <w:rsid w:val="0088097D"/>
    <w:rsid w:val="00C11F2F"/>
    <w:rsid w:val="00C34C91"/>
    <w:rsid w:val="00C65218"/>
    <w:rsid w:val="00D60F81"/>
    <w:rsid w:val="00DA528D"/>
    <w:rsid w:val="0DB95C59"/>
    <w:rsid w:val="112E10E3"/>
    <w:rsid w:val="28A16365"/>
    <w:rsid w:val="297E54ED"/>
    <w:rsid w:val="2B0379D1"/>
    <w:rsid w:val="42D115B5"/>
    <w:rsid w:val="48E4782C"/>
    <w:rsid w:val="593E7CA2"/>
    <w:rsid w:val="62B0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样式1"/>
    <w:basedOn w:val="2"/>
    <w:link w:val="8"/>
    <w:qFormat/>
    <w:uiPriority w:val="0"/>
    <w:pPr>
      <w:widowControl/>
      <w:pBdr>
        <w:bottom w:val="single" w:color="D9E2F3" w:themeColor="accent1" w:themeTint="33" w:sz="8" w:space="0"/>
      </w:pBdr>
      <w:spacing w:before="0" w:after="200" w:line="300" w:lineRule="auto"/>
      <w:jc w:val="left"/>
    </w:pPr>
    <w:rPr>
      <w:rFonts w:eastAsia="Microsoft YaHei UI" w:asciiTheme="majorHAnsi" w:hAnsiTheme="majorHAnsi" w:cstheme="majorBidi"/>
      <w:b w:val="0"/>
      <w:bCs w:val="0"/>
      <w:color w:val="4472C4" w:themeColor="accent1"/>
      <w:kern w:val="0"/>
      <w:sz w:val="36"/>
      <w:szCs w:val="36"/>
      <w:lang w:eastAsia="ja-JP"/>
      <w14:textFill>
        <w14:solidFill>
          <w14:schemeClr w14:val="accent1"/>
        </w14:solidFill>
      </w14:textFill>
    </w:rPr>
  </w:style>
  <w:style w:type="character" w:customStyle="1" w:styleId="8">
    <w:name w:val="样式1 字符"/>
    <w:basedOn w:val="6"/>
    <w:link w:val="7"/>
    <w:qFormat/>
    <w:uiPriority w:val="0"/>
    <w:rPr>
      <w:rFonts w:eastAsia="Microsoft YaHei UI" w:asciiTheme="majorHAnsi" w:hAnsiTheme="majorHAnsi" w:cstheme="majorBidi"/>
      <w:color w:val="4472C4" w:themeColor="accent1"/>
      <w:kern w:val="0"/>
      <w:sz w:val="36"/>
      <w:szCs w:val="36"/>
      <w:lang w:eastAsia="ja-JP"/>
      <w14:textFill>
        <w14:solidFill>
          <w14:schemeClr w14:val="accent1"/>
        </w14:solidFill>
      </w14:textFill>
    </w:rPr>
  </w:style>
  <w:style w:type="character" w:customStyle="1" w:styleId="9">
    <w:name w:val="标题 1 字符"/>
    <w:basedOn w:val="6"/>
    <w:link w:val="2"/>
    <w:qFormat/>
    <w:uiPriority w:val="9"/>
    <w:rPr>
      <w:b/>
      <w:bCs/>
      <w:kern w:val="44"/>
      <w:sz w:val="44"/>
      <w:szCs w:val="44"/>
    </w:rPr>
  </w:style>
  <w:style w:type="paragraph" w:customStyle="1" w:styleId="10">
    <w:name w:val="样式2"/>
    <w:basedOn w:val="3"/>
    <w:link w:val="11"/>
    <w:qFormat/>
    <w:uiPriority w:val="0"/>
    <w:pPr>
      <w:widowControl/>
      <w:spacing w:before="120" w:after="120" w:line="240" w:lineRule="auto"/>
      <w:jc w:val="left"/>
    </w:pPr>
    <w:rPr>
      <w:rFonts w:eastAsia="Microsoft YaHei UI" w:asciiTheme="minorHAnsi" w:hAnsiTheme="minorHAnsi" w:cstheme="minorBidi"/>
      <w:color w:val="44546A" w:themeColor="text2"/>
      <w:kern w:val="0"/>
      <w:sz w:val="26"/>
      <w:szCs w:val="26"/>
      <w:lang w:eastAsia="ja-JP"/>
      <w14:textFill>
        <w14:solidFill>
          <w14:schemeClr w14:val="tx2"/>
        </w14:solidFill>
      </w14:textFill>
    </w:rPr>
  </w:style>
  <w:style w:type="character" w:customStyle="1" w:styleId="11">
    <w:name w:val="样式2 字符"/>
    <w:basedOn w:val="6"/>
    <w:link w:val="10"/>
    <w:qFormat/>
    <w:uiPriority w:val="0"/>
    <w:rPr>
      <w:rFonts w:eastAsia="Microsoft YaHei UI"/>
      <w:b/>
      <w:bCs/>
      <w:color w:val="44546A" w:themeColor="text2"/>
      <w:kern w:val="0"/>
      <w:sz w:val="26"/>
      <w:szCs w:val="26"/>
      <w:lang w:eastAsia="ja-JP"/>
      <w14:textFill>
        <w14:solidFill>
          <w14:schemeClr w14:val="tx2"/>
        </w14:solidFill>
      </w14:textFill>
    </w:rPr>
  </w:style>
  <w:style w:type="character" w:customStyle="1" w:styleId="12">
    <w:name w:val="标题 2 字符"/>
    <w:basedOn w:val="6"/>
    <w:link w:val="3"/>
    <w:semiHidden/>
    <w:qFormat/>
    <w:uiPriority w:val="9"/>
    <w:rPr>
      <w:rFonts w:asciiTheme="majorHAnsi" w:hAnsiTheme="majorHAnsi" w:eastAsiaTheme="majorEastAsia" w:cstheme="majorBidi"/>
      <w:b/>
      <w:bCs/>
      <w:sz w:val="32"/>
      <w:szCs w:val="32"/>
    </w:rPr>
  </w:style>
  <w:style w:type="character" w:styleId="13">
    <w:name w:val="Placeholder Text"/>
    <w:basedOn w:val="6"/>
    <w:semiHidden/>
    <w:qFormat/>
    <w:uiPriority w:val="99"/>
    <w:rPr>
      <w:color w:val="808080"/>
    </w:rPr>
  </w:style>
  <w:style w:type="paragraph" w:styleId="14">
    <w:name w:val="List Paragraph"/>
    <w:basedOn w:val="1"/>
    <w:qFormat/>
    <w:uiPriority w:val="34"/>
    <w:pPr>
      <w:ind w:firstLine="420" w:firstLineChars="200"/>
    </w:pPr>
  </w:style>
  <w:style w:type="table" w:customStyle="1" w:styleId="15">
    <w:name w:val="网格型1"/>
    <w:basedOn w:val="4"/>
    <w:qFormat/>
    <w:uiPriority w:val="39"/>
    <w:rPr>
      <w:rFonts w:ascii="Times New Roman" w:hAnsi="Times New Roman"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4060</Words>
  <Characters>4158</Characters>
  <Lines>37</Lines>
  <Paragraphs>10</Paragraphs>
  <TotalTime>5</TotalTime>
  <ScaleCrop>false</ScaleCrop>
  <LinksUpToDate>false</LinksUpToDate>
  <CharactersWithSpaces>4254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2023-03-14T08:12:00Z</dcterms:created>
  <dc:creator>段 玉</dc:creator>
  <cp:lastModifiedBy>张静怡</cp:lastModifiedBy>
  <dcterms:modified xsi:type="dcterms:W3CDTF">2024-09-04T02:14:06Z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FFE655C64A294F39B0B8B18E43EDE341</vt:lpwstr>
  </property>
</Properties>
</file>